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6" w:rsidRPr="007040DE" w:rsidRDefault="000775A8" w:rsidP="00BC482E">
      <w:pPr>
        <w:spacing w:afterLines="120" w:after="288" w:line="240" w:lineRule="auto"/>
        <w:jc w:val="right"/>
        <w:rPr>
          <w:rFonts w:ascii="Century Gothic" w:hAnsi="Century Gothic"/>
          <w:i/>
        </w:rPr>
      </w:pPr>
      <w:bookmarkStart w:id="0" w:name="_GoBack"/>
      <w:bookmarkEnd w:id="0"/>
      <w:r>
        <w:rPr>
          <w:rFonts w:ascii="Century Gothic" w:hAnsi="Century Gothic"/>
          <w:i/>
        </w:rPr>
        <w:t xml:space="preserve">Updated on </w:t>
      </w:r>
      <w:r w:rsidR="00D87B35">
        <w:rPr>
          <w:rFonts w:ascii="Century Gothic" w:hAnsi="Century Gothic"/>
          <w:i/>
        </w:rPr>
        <w:t>26</w:t>
      </w:r>
      <w:r>
        <w:rPr>
          <w:rFonts w:ascii="Century Gothic" w:hAnsi="Century Gothic"/>
          <w:i/>
        </w:rPr>
        <w:t xml:space="preserve"> </w:t>
      </w:r>
      <w:r w:rsidR="004315AD">
        <w:rPr>
          <w:rFonts w:ascii="Century Gothic" w:hAnsi="Century Gothic"/>
          <w:i/>
        </w:rPr>
        <w:t>April</w:t>
      </w:r>
      <w:r>
        <w:rPr>
          <w:rFonts w:ascii="Century Gothic" w:hAnsi="Century Gothic"/>
          <w:i/>
        </w:rPr>
        <w:t xml:space="preserve"> </w:t>
      </w:r>
      <w:r w:rsidR="00F64D7B">
        <w:rPr>
          <w:rFonts w:ascii="Century Gothic" w:hAnsi="Century Gothic"/>
          <w:i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DF" w:rsidRPr="007040DE" w:rsidTr="000F4FC2">
        <w:tc>
          <w:tcPr>
            <w:tcW w:w="9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152CDF" w:rsidRPr="007040DE" w:rsidTr="000F4FC2">
              <w:trPr>
                <w:trHeight w:val="914"/>
              </w:trPr>
              <w:tc>
                <w:tcPr>
                  <w:tcW w:w="0" w:type="auto"/>
                </w:tcPr>
                <w:p w:rsidR="00152CDF" w:rsidRPr="007040DE" w:rsidRDefault="00152CDF" w:rsidP="001C67D9">
                  <w:pPr>
                    <w:pStyle w:val="Default"/>
                    <w:spacing w:beforeLines="120" w:before="288" w:afterLines="120" w:after="288"/>
                    <w:rPr>
                      <w:sz w:val="22"/>
                      <w:szCs w:val="22"/>
                    </w:rPr>
                  </w:pPr>
                  <w:r w:rsidRPr="007040DE">
                    <w:rPr>
                      <w:b/>
                      <w:bCs/>
                      <w:sz w:val="22"/>
                      <w:szCs w:val="22"/>
                    </w:rPr>
                    <w:t xml:space="preserve">Disclaimer: </w:t>
                  </w:r>
                  <w:r w:rsidRPr="007040DE">
                    <w:rPr>
                      <w:sz w:val="22"/>
                      <w:szCs w:val="22"/>
                    </w:rPr>
                    <w:t>The following snapshot is released for the purpose of informing AMMA members only and is not for broader distribution. The contents of this docum</w:t>
                  </w:r>
                  <w:r w:rsidR="00E47850" w:rsidRPr="007040DE">
                    <w:rPr>
                      <w:sz w:val="22"/>
                      <w:szCs w:val="22"/>
                    </w:rPr>
                    <w:t>ent do not contain legal advice</w:t>
                  </w:r>
                  <w:r w:rsidRPr="007040DE">
                    <w:rPr>
                      <w:sz w:val="22"/>
                      <w:szCs w:val="22"/>
                    </w:rPr>
                    <w:t xml:space="preserve"> and the precise legal meaning of some of the legislative provisions </w:t>
                  </w:r>
                  <w:r w:rsidR="00B255AE">
                    <w:rPr>
                      <w:sz w:val="22"/>
                      <w:szCs w:val="22"/>
                    </w:rPr>
                    <w:t xml:space="preserve">contained herein </w:t>
                  </w:r>
                  <w:r w:rsidRPr="007040DE">
                    <w:rPr>
                      <w:sz w:val="22"/>
                      <w:szCs w:val="22"/>
                    </w:rPr>
                    <w:t xml:space="preserve">will evolve </w:t>
                  </w:r>
                  <w:r w:rsidR="00F91AD7" w:rsidRPr="007040DE">
                    <w:rPr>
                      <w:sz w:val="22"/>
                      <w:szCs w:val="22"/>
                    </w:rPr>
                    <w:t>if and when the Bills pass through parliament</w:t>
                  </w:r>
                  <w:r w:rsidR="00B255AE">
                    <w:rPr>
                      <w:sz w:val="22"/>
                      <w:szCs w:val="22"/>
                    </w:rPr>
                    <w:t xml:space="preserve"> and </w:t>
                  </w:r>
                  <w:r w:rsidR="001C67D9">
                    <w:rPr>
                      <w:sz w:val="22"/>
                      <w:szCs w:val="22"/>
                    </w:rPr>
                    <w:t>into</w:t>
                  </w:r>
                  <w:r w:rsidR="00B255AE">
                    <w:rPr>
                      <w:sz w:val="22"/>
                      <w:szCs w:val="22"/>
                    </w:rPr>
                    <w:t xml:space="preserve"> law</w:t>
                  </w:r>
                  <w:r w:rsidRPr="007040DE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152CDF" w:rsidRPr="007040DE" w:rsidRDefault="00152CDF" w:rsidP="00145CE9">
            <w:pPr>
              <w:spacing w:beforeLines="120" w:before="288" w:afterLines="120" w:after="288"/>
              <w:rPr>
                <w:rFonts w:ascii="Century Gothic" w:hAnsi="Century Gothic"/>
              </w:rPr>
            </w:pPr>
          </w:p>
        </w:tc>
      </w:tr>
    </w:tbl>
    <w:p w:rsidR="00152E01" w:rsidRPr="000E1B53" w:rsidRDefault="003920D3" w:rsidP="00145CE9">
      <w:pPr>
        <w:spacing w:beforeLines="120" w:before="288" w:afterLines="120" w:after="288"/>
        <w:jc w:val="center"/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</w:pPr>
      <w:r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>STATUS</w:t>
      </w:r>
      <w:r w:rsidR="006A199C"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 xml:space="preserve"> OF </w:t>
      </w:r>
      <w:r w:rsidR="00856F8B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 xml:space="preserve">3 </w:t>
      </w:r>
      <w:r w:rsidR="006A199C"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 xml:space="preserve">KEY </w:t>
      </w:r>
      <w:r w:rsidR="001C67D9"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 xml:space="preserve">WR </w:t>
      </w:r>
      <w:r w:rsidR="006A199C"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 xml:space="preserve">BILLS </w:t>
      </w:r>
      <w:r w:rsidR="001C67D9"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>IN FEDERAL</w:t>
      </w:r>
      <w:r w:rsidR="006A199C" w:rsidRPr="000E1B53">
        <w:rPr>
          <w:rFonts w:ascii="Century Gothic" w:eastAsia="Times New Roman" w:hAnsi="Century Gothic" w:cs="Calibri"/>
          <w:b/>
          <w:color w:val="000000"/>
          <w:sz w:val="32"/>
          <w:szCs w:val="32"/>
          <w:lang w:eastAsia="en-AU"/>
        </w:rPr>
        <w:t xml:space="preserve"> PARLIAMENT</w:t>
      </w:r>
    </w:p>
    <w:p w:rsidR="00ED327D" w:rsidRDefault="0000095A" w:rsidP="00312510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Three</w:t>
      </w:r>
      <w:r w:rsidR="00DB5719" w:rsidRPr="0033228B">
        <w:rPr>
          <w:rFonts w:ascii="Century Gothic" w:eastAsia="Times New Roman" w:hAnsi="Century Gothic" w:cs="Calibri"/>
          <w:color w:val="000000"/>
          <w:lang w:eastAsia="en-AU"/>
        </w:rPr>
        <w:t xml:space="preserve"> important </w:t>
      </w:r>
      <w:r w:rsidR="006A199C">
        <w:rPr>
          <w:rFonts w:ascii="Century Gothic" w:eastAsia="Times New Roman" w:hAnsi="Century Gothic" w:cs="Calibri"/>
          <w:color w:val="000000"/>
          <w:lang w:eastAsia="en-AU"/>
        </w:rPr>
        <w:t xml:space="preserve">pieces of </w:t>
      </w:r>
      <w:r w:rsidR="001C67D9">
        <w:rPr>
          <w:rFonts w:ascii="Century Gothic" w:eastAsia="Times New Roman" w:hAnsi="Century Gothic" w:cs="Calibri"/>
          <w:color w:val="000000"/>
          <w:lang w:eastAsia="en-AU"/>
        </w:rPr>
        <w:t xml:space="preserve">WR </w:t>
      </w:r>
      <w:r w:rsidR="006A199C">
        <w:rPr>
          <w:rFonts w:ascii="Century Gothic" w:eastAsia="Times New Roman" w:hAnsi="Century Gothic" w:cs="Calibri"/>
          <w:color w:val="000000"/>
          <w:lang w:eastAsia="en-AU"/>
        </w:rPr>
        <w:t xml:space="preserve">legislation </w:t>
      </w:r>
      <w:r>
        <w:rPr>
          <w:rFonts w:ascii="Century Gothic" w:eastAsia="Times New Roman" w:hAnsi="Century Gothic" w:cs="Calibri"/>
          <w:color w:val="000000"/>
          <w:lang w:eastAsia="en-AU"/>
        </w:rPr>
        <w:t>went</w:t>
      </w:r>
      <w:r w:rsidR="006A199C">
        <w:rPr>
          <w:rFonts w:ascii="Century Gothic" w:eastAsia="Times New Roman" w:hAnsi="Century Gothic" w:cs="Calibri"/>
          <w:color w:val="000000"/>
          <w:lang w:eastAsia="en-AU"/>
        </w:rPr>
        <w:t xml:space="preserve"> before </w:t>
      </w:r>
      <w:r w:rsidR="001C67D9">
        <w:rPr>
          <w:rFonts w:ascii="Century Gothic" w:eastAsia="Times New Roman" w:hAnsi="Century Gothic" w:cs="Calibri"/>
          <w:color w:val="000000"/>
          <w:lang w:eastAsia="en-AU"/>
        </w:rPr>
        <w:t xml:space="preserve">the </w:t>
      </w:r>
      <w:r w:rsidR="006A199C">
        <w:rPr>
          <w:rFonts w:ascii="Century Gothic" w:eastAsia="Times New Roman" w:hAnsi="Century Gothic" w:cs="Calibri"/>
          <w:color w:val="000000"/>
          <w:lang w:eastAsia="en-AU"/>
        </w:rPr>
        <w:t>federal parliament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in recent weeks. </w:t>
      </w:r>
      <w:r w:rsidR="00856F8B">
        <w:rPr>
          <w:rFonts w:ascii="Century Gothic" w:eastAsia="Times New Roman" w:hAnsi="Century Gothic" w:cs="Calibri"/>
          <w:color w:val="000000"/>
          <w:lang w:eastAsia="en-AU"/>
        </w:rPr>
        <w:t>Following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is an update on the status of the Fair Work (Registered Organisations) Amendment Bill 2014 (No 3), the Building &amp; Construction Industry (Improving Productivity) Bill 2013 (No 2), and the Road Safety Remuneration Repeal Act 2016</w:t>
      </w:r>
      <w:r w:rsidR="00C37372">
        <w:rPr>
          <w:rFonts w:ascii="Century Gothic" w:eastAsia="Times New Roman" w:hAnsi="Century Gothic" w:cs="Calibri"/>
          <w:color w:val="000000"/>
          <w:lang w:eastAsia="en-AU"/>
        </w:rPr>
        <w:t>.</w:t>
      </w:r>
    </w:p>
    <w:p w:rsidR="007F2494" w:rsidRPr="000E1B53" w:rsidRDefault="007F2494" w:rsidP="007F2494">
      <w:pPr>
        <w:spacing w:beforeLines="120" w:before="288" w:afterLines="120" w:after="288"/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</w:pPr>
      <w:r w:rsidRPr="000E1B53"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>Fair Work (Registered Organisat</w:t>
      </w:r>
      <w:r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>ions) Amendment Bill 2014 (No </w:t>
      </w:r>
      <w:r w:rsidR="0026128A"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>3</w:t>
      </w:r>
      <w:r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>)</w:t>
      </w:r>
    </w:p>
    <w:p w:rsidR="0026128A" w:rsidRDefault="007F2494" w:rsidP="007F2494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A </w:t>
      </w:r>
      <w:r w:rsidR="0026128A">
        <w:rPr>
          <w:rFonts w:ascii="Century Gothic" w:eastAsia="Times New Roman" w:hAnsi="Century Gothic" w:cs="Calibri"/>
          <w:color w:val="000000"/>
          <w:lang w:eastAsia="en-AU"/>
        </w:rPr>
        <w:t>fourth version of the Fair Work (Registered Organisations) Amendment Bill went be</w:t>
      </w:r>
      <w:r w:rsidR="003F2FE8">
        <w:rPr>
          <w:rFonts w:ascii="Century Gothic" w:eastAsia="Times New Roman" w:hAnsi="Century Gothic" w:cs="Calibri"/>
          <w:color w:val="000000"/>
          <w:lang w:eastAsia="en-AU"/>
        </w:rPr>
        <w:t>fore the Senate on 18 April 2016</w:t>
      </w:r>
      <w:r w:rsidR="0026128A">
        <w:rPr>
          <w:rFonts w:ascii="Century Gothic" w:eastAsia="Times New Roman" w:hAnsi="Century Gothic" w:cs="Calibri"/>
          <w:color w:val="000000"/>
          <w:lang w:eastAsia="en-AU"/>
        </w:rPr>
        <w:t xml:space="preserve">. </w:t>
      </w:r>
    </w:p>
    <w:p w:rsidR="007F2494" w:rsidRDefault="003F2FE8" w:rsidP="007F2494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It was identical to an earlier</w:t>
      </w:r>
      <w:r w:rsidR="0026128A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7F2494">
        <w:rPr>
          <w:rFonts w:ascii="Century Gothic" w:eastAsia="Times New Roman" w:hAnsi="Century Gothic" w:cs="Calibri"/>
          <w:color w:val="000000"/>
          <w:lang w:eastAsia="en-AU"/>
        </w:rPr>
        <w:t xml:space="preserve">third version of the Bill </w:t>
      </w:r>
      <w:r w:rsidR="00F60A16">
        <w:rPr>
          <w:rFonts w:ascii="Century Gothic" w:eastAsia="Times New Roman" w:hAnsi="Century Gothic" w:cs="Calibri"/>
          <w:color w:val="000000"/>
          <w:lang w:eastAsia="en-AU"/>
        </w:rPr>
        <w:t xml:space="preserve">that </w:t>
      </w:r>
      <w:r w:rsidR="007F2494">
        <w:rPr>
          <w:rFonts w:ascii="Century Gothic" w:eastAsia="Times New Roman" w:hAnsi="Century Gothic" w:cs="Calibri"/>
          <w:color w:val="000000"/>
          <w:lang w:eastAsia="en-AU"/>
        </w:rPr>
        <w:t xml:space="preserve">was voted down in the Senate on 17 August 2015. </w:t>
      </w:r>
    </w:p>
    <w:p w:rsidR="007F2494" w:rsidRDefault="007F2494" w:rsidP="007F2494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The Fair Work (Registered Organisa</w:t>
      </w:r>
      <w:r w:rsidR="00F36C4D">
        <w:rPr>
          <w:rFonts w:ascii="Century Gothic" w:eastAsia="Times New Roman" w:hAnsi="Century Gothic" w:cs="Calibri"/>
          <w:color w:val="000000"/>
          <w:lang w:eastAsia="en-AU"/>
        </w:rPr>
        <w:t>tions) Amendment Bill 2014 (No 3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) </w:t>
      </w:r>
      <w:r w:rsidR="00F36C4D">
        <w:rPr>
          <w:rFonts w:ascii="Century Gothic" w:eastAsia="Times New Roman" w:hAnsi="Century Gothic" w:cs="Calibri"/>
          <w:color w:val="000000"/>
          <w:lang w:eastAsia="en-AU"/>
        </w:rPr>
        <w:t>seeks to amend</w:t>
      </w:r>
      <w:r w:rsidRPr="009D6653">
        <w:rPr>
          <w:rFonts w:ascii="Century Gothic" w:eastAsia="Times New Roman" w:hAnsi="Century Gothic" w:cs="Calibri"/>
          <w:color w:val="000000"/>
          <w:lang w:eastAsia="en-AU"/>
        </w:rPr>
        <w:t xml:space="preserve"> the Fair Work Act 2009 and the Fair Work (Registered Organisations) Act 2009 to: </w:t>
      </w:r>
    </w:p>
    <w:p w:rsidR="007F2494" w:rsidRDefault="007F2494" w:rsidP="007F2494">
      <w:pPr>
        <w:pStyle w:val="ListParagraph"/>
        <w:numPr>
          <w:ilvl w:val="0"/>
          <w:numId w:val="17"/>
        </w:num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b/>
          <w:color w:val="000000"/>
          <w:lang w:eastAsia="en-AU"/>
        </w:rPr>
        <w:t>E</w:t>
      </w:r>
      <w:r w:rsidRPr="009D6653">
        <w:rPr>
          <w:rFonts w:ascii="Century Gothic" w:eastAsia="Times New Roman" w:hAnsi="Century Gothic" w:cs="Calibri"/>
          <w:b/>
          <w:color w:val="000000"/>
          <w:lang w:eastAsia="en-AU"/>
        </w:rPr>
        <w:t>stablish</w:t>
      </w:r>
      <w:r w:rsidRPr="009D6653">
        <w:rPr>
          <w:rFonts w:ascii="Century Gothic" w:eastAsia="Times New Roman" w:hAnsi="Century Gothic" w:cs="Calibri"/>
          <w:color w:val="000000"/>
          <w:lang w:eastAsia="en-AU"/>
        </w:rPr>
        <w:t xml:space="preserve"> a Registered Organisations Commission and provide it with investigation and information-gathering powers to monitor and regulate registered organisations (replacing the Fair Work Commission in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relation to </w:t>
      </w:r>
      <w:r w:rsidR="0000095A">
        <w:rPr>
          <w:rFonts w:ascii="Century Gothic" w:eastAsia="Times New Roman" w:hAnsi="Century Gothic" w:cs="Calibri"/>
          <w:color w:val="000000"/>
          <w:lang w:eastAsia="en-AU"/>
        </w:rPr>
        <w:t>that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function only);</w:t>
      </w:r>
      <w:r w:rsidRPr="009D6653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</w:p>
    <w:p w:rsidR="007F2494" w:rsidRDefault="007F2494" w:rsidP="007F2494">
      <w:pPr>
        <w:pStyle w:val="ListParagraph"/>
        <w:numPr>
          <w:ilvl w:val="0"/>
          <w:numId w:val="17"/>
        </w:num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b/>
          <w:color w:val="000000"/>
          <w:lang w:eastAsia="en-AU"/>
        </w:rPr>
        <w:t>C</w:t>
      </w:r>
      <w:r w:rsidRPr="009D6653">
        <w:rPr>
          <w:rFonts w:ascii="Century Gothic" w:eastAsia="Times New Roman" w:hAnsi="Century Gothic" w:cs="Calibri"/>
          <w:b/>
          <w:color w:val="000000"/>
          <w:lang w:eastAsia="en-AU"/>
        </w:rPr>
        <w:t>hange</w:t>
      </w:r>
      <w:r w:rsidRPr="009D6653">
        <w:rPr>
          <w:rFonts w:ascii="Century Gothic" w:eastAsia="Times New Roman" w:hAnsi="Century Gothic" w:cs="Calibri"/>
          <w:color w:val="000000"/>
          <w:lang w:eastAsia="en-AU"/>
        </w:rPr>
        <w:t xml:space="preserve"> the requirements on officers’ disclosure of material personal interests</w:t>
      </w:r>
      <w:r>
        <w:rPr>
          <w:rFonts w:ascii="Century Gothic" w:eastAsia="Times New Roman" w:hAnsi="Century Gothic" w:cs="Calibri"/>
          <w:color w:val="000000"/>
          <w:lang w:eastAsia="en-AU"/>
        </w:rPr>
        <w:t>; and</w:t>
      </w:r>
      <w:r w:rsidRPr="009D6653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</w:p>
    <w:p w:rsidR="007F2494" w:rsidRPr="009D6653" w:rsidRDefault="007F2494" w:rsidP="007F2494">
      <w:pPr>
        <w:pStyle w:val="ListParagraph"/>
        <w:numPr>
          <w:ilvl w:val="0"/>
          <w:numId w:val="17"/>
        </w:num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b/>
          <w:color w:val="000000"/>
          <w:lang w:eastAsia="en-AU"/>
        </w:rPr>
        <w:t>I</w:t>
      </w:r>
      <w:r w:rsidRPr="009D6653">
        <w:rPr>
          <w:rFonts w:ascii="Century Gothic" w:eastAsia="Times New Roman" w:hAnsi="Century Gothic" w:cs="Calibri"/>
          <w:b/>
          <w:color w:val="000000"/>
          <w:lang w:eastAsia="en-AU"/>
        </w:rPr>
        <w:t>ncrease</w:t>
      </w:r>
      <w:r w:rsidRPr="009D6653">
        <w:rPr>
          <w:rFonts w:ascii="Century Gothic" w:eastAsia="Times New Roman" w:hAnsi="Century Gothic" w:cs="Calibri"/>
          <w:color w:val="000000"/>
          <w:lang w:eastAsia="en-AU"/>
        </w:rPr>
        <w:t xml:space="preserve"> financial accounting and disclosure obligations for registered organisations and their officers.</w:t>
      </w:r>
    </w:p>
    <w:p w:rsidR="00856F8B" w:rsidRDefault="005F07AA" w:rsidP="007F2494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The </w:t>
      </w:r>
      <w:r w:rsidR="00F36C4D">
        <w:rPr>
          <w:rFonts w:ascii="Century Gothic" w:eastAsia="Times New Roman" w:hAnsi="Century Gothic" w:cs="Calibri"/>
          <w:color w:val="000000"/>
          <w:lang w:eastAsia="en-AU"/>
        </w:rPr>
        <w:t xml:space="preserve">fourth and latest version of the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Bill did not pass through the House of Representatives during 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 xml:space="preserve">debate on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18 April 2016 and is not expected to </w:t>
      </w:r>
      <w:r w:rsidR="00856F8B">
        <w:rPr>
          <w:rFonts w:ascii="Century Gothic" w:eastAsia="Times New Roman" w:hAnsi="Century Gothic" w:cs="Calibri"/>
          <w:color w:val="000000"/>
          <w:lang w:eastAsia="en-AU"/>
        </w:rPr>
        <w:t>pass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856F8B">
        <w:rPr>
          <w:rFonts w:ascii="Century Gothic" w:eastAsia="Times New Roman" w:hAnsi="Century Gothic" w:cs="Calibri"/>
          <w:color w:val="000000"/>
          <w:lang w:eastAsia="en-AU"/>
        </w:rPr>
        <w:t xml:space="preserve">prior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to parliament ceasing ahead of a likely 2 July 2016 federal election. </w:t>
      </w:r>
    </w:p>
    <w:p w:rsidR="005F07AA" w:rsidRDefault="005F07AA" w:rsidP="007F2494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lastRenderedPageBreak/>
        <w:t xml:space="preserve">The Building &amp; Construction Industry (Improving Productivity) Bill 2013 (No 2) has already provided the PM with a trigger </w:t>
      </w:r>
      <w:r w:rsidR="00F60A16">
        <w:rPr>
          <w:rFonts w:ascii="Century Gothic" w:eastAsia="Times New Roman" w:hAnsi="Century Gothic" w:cs="Calibri"/>
          <w:color w:val="000000"/>
          <w:lang w:eastAsia="en-AU"/>
        </w:rPr>
        <w:t xml:space="preserve">for a double dissolution </w:t>
      </w:r>
      <w:r w:rsidR="00B472D4">
        <w:rPr>
          <w:rFonts w:ascii="Century Gothic" w:eastAsia="Times New Roman" w:hAnsi="Century Gothic" w:cs="Calibri"/>
          <w:color w:val="000000"/>
          <w:lang w:eastAsia="en-AU"/>
        </w:rPr>
        <w:t xml:space="preserve">federal </w:t>
      </w:r>
      <w:r w:rsidR="00F60A16">
        <w:rPr>
          <w:rFonts w:ascii="Century Gothic" w:eastAsia="Times New Roman" w:hAnsi="Century Gothic" w:cs="Calibri"/>
          <w:color w:val="000000"/>
          <w:lang w:eastAsia="en-AU"/>
        </w:rPr>
        <w:t xml:space="preserve">election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(see 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>below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for details</w:t>
      </w:r>
      <w:r w:rsidR="00B472D4">
        <w:rPr>
          <w:rFonts w:ascii="Century Gothic" w:eastAsia="Times New Roman" w:hAnsi="Century Gothic" w:cs="Calibri"/>
          <w:color w:val="000000"/>
          <w:lang w:eastAsia="en-AU"/>
        </w:rPr>
        <w:t xml:space="preserve"> of that Bill</w:t>
      </w:r>
      <w:r>
        <w:rPr>
          <w:rFonts w:ascii="Century Gothic" w:eastAsia="Times New Roman" w:hAnsi="Century Gothic" w:cs="Calibri"/>
          <w:color w:val="000000"/>
          <w:lang w:eastAsia="en-AU"/>
        </w:rPr>
        <w:t>).</w:t>
      </w:r>
    </w:p>
    <w:p w:rsidR="007F2494" w:rsidRDefault="007F2494" w:rsidP="00145CE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To view the</w:t>
      </w:r>
      <w:r w:rsidR="005F07AA">
        <w:rPr>
          <w:rFonts w:ascii="Century Gothic" w:eastAsia="Times New Roman" w:hAnsi="Century Gothic" w:cs="Calibri"/>
          <w:color w:val="000000"/>
          <w:lang w:eastAsia="en-AU"/>
        </w:rPr>
        <w:t xml:space="preserve"> latest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5F07AA">
        <w:rPr>
          <w:rFonts w:ascii="Century Gothic" w:eastAsia="Times New Roman" w:hAnsi="Century Gothic" w:cs="Calibri"/>
          <w:color w:val="000000"/>
          <w:lang w:eastAsia="en-AU"/>
        </w:rPr>
        <w:t xml:space="preserve">Registered Organisations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Bill, click </w:t>
      </w:r>
      <w:hyperlink r:id="rId7" w:history="1">
        <w:r w:rsidRPr="003F70D8">
          <w:rPr>
            <w:rStyle w:val="Hyperlink"/>
            <w:rFonts w:ascii="Century Gothic" w:eastAsia="Times New Roman" w:hAnsi="Century Gothic" w:cs="Calibri"/>
            <w:lang w:eastAsia="en-AU"/>
          </w:rPr>
          <w:t>here</w:t>
        </w:r>
      </w:hyperlink>
      <w:r>
        <w:rPr>
          <w:rFonts w:ascii="Century Gothic" w:eastAsia="Times New Roman" w:hAnsi="Century Gothic" w:cs="Calibri"/>
          <w:color w:val="000000"/>
          <w:lang w:eastAsia="en-AU"/>
        </w:rPr>
        <w:t>.</w:t>
      </w:r>
    </w:p>
    <w:p w:rsidR="0029464C" w:rsidRPr="000E1B53" w:rsidRDefault="003B4115" w:rsidP="0029464C">
      <w:pPr>
        <w:spacing w:beforeLines="120" w:before="288" w:afterLines="120" w:after="288"/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</w:pPr>
      <w:r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>Building &amp; Construction Industry (Improving Productivity) Bill 2013 (No 2)</w:t>
      </w:r>
    </w:p>
    <w:p w:rsidR="002B6E71" w:rsidRDefault="002B6E71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 w:rsidRPr="00F116B4">
        <w:rPr>
          <w:rFonts w:ascii="Century Gothic" w:eastAsia="Times New Roman" w:hAnsi="Century Gothic" w:cs="Calibri"/>
          <w:color w:val="000000"/>
          <w:lang w:eastAsia="en-AU"/>
        </w:rPr>
        <w:t xml:space="preserve">The Senate </w:t>
      </w:r>
      <w:r w:rsidR="00F116B4" w:rsidRPr="00F116B4">
        <w:rPr>
          <w:rFonts w:ascii="Century Gothic" w:eastAsia="Times New Roman" w:hAnsi="Century Gothic" w:cs="Calibri"/>
          <w:color w:val="000000"/>
          <w:lang w:eastAsia="en-AU"/>
        </w:rPr>
        <w:t>resumed consideration of</w:t>
      </w:r>
      <w:r w:rsidRPr="00F116B4">
        <w:rPr>
          <w:rFonts w:ascii="Century Gothic" w:eastAsia="Times New Roman" w:hAnsi="Century Gothic" w:cs="Calibri"/>
          <w:color w:val="000000"/>
          <w:lang w:eastAsia="en-AU"/>
        </w:rPr>
        <w:t xml:space="preserve"> this Bill on </w:t>
      </w:r>
      <w:r w:rsidR="00F116B4" w:rsidRPr="00F116B4">
        <w:rPr>
          <w:rFonts w:ascii="Century Gothic" w:eastAsia="Times New Roman" w:hAnsi="Century Gothic" w:cs="Calibri"/>
          <w:color w:val="000000"/>
          <w:lang w:eastAsia="en-AU"/>
        </w:rPr>
        <w:t>18</w:t>
      </w:r>
      <w:r w:rsidRPr="00F116B4">
        <w:rPr>
          <w:rFonts w:ascii="Century Gothic" w:eastAsia="Times New Roman" w:hAnsi="Century Gothic" w:cs="Calibri"/>
          <w:color w:val="000000"/>
          <w:lang w:eastAsia="en-AU"/>
        </w:rPr>
        <w:t xml:space="preserve"> April 2016 after the Federal Government </w:t>
      </w:r>
      <w:r w:rsidR="00F116B4">
        <w:rPr>
          <w:rFonts w:ascii="Century Gothic" w:eastAsia="Times New Roman" w:hAnsi="Century Gothic" w:cs="Calibri"/>
          <w:color w:val="000000"/>
          <w:lang w:eastAsia="en-AU"/>
        </w:rPr>
        <w:t>placed</w:t>
      </w:r>
      <w:r w:rsidRPr="00F116B4">
        <w:rPr>
          <w:rFonts w:ascii="Century Gothic" w:eastAsia="Times New Roman" w:hAnsi="Century Gothic" w:cs="Calibri"/>
          <w:color w:val="000000"/>
          <w:lang w:eastAsia="en-AU"/>
        </w:rPr>
        <w:t xml:space="preserve"> it on the Senate</w:t>
      </w:r>
      <w:r w:rsidR="00F116B4">
        <w:rPr>
          <w:rFonts w:ascii="Century Gothic" w:eastAsia="Times New Roman" w:hAnsi="Century Gothic" w:cs="Calibri"/>
          <w:color w:val="000000"/>
          <w:lang w:eastAsia="en-AU"/>
        </w:rPr>
        <w:t>’s</w:t>
      </w:r>
      <w:r w:rsidRPr="00F116B4">
        <w:rPr>
          <w:rFonts w:ascii="Century Gothic" w:eastAsia="Times New Roman" w:hAnsi="Century Gothic" w:cs="Calibri"/>
          <w:color w:val="000000"/>
          <w:lang w:eastAsia="en-AU"/>
        </w:rPr>
        <w:t xml:space="preserve"> schedule again.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</w:p>
    <w:p w:rsidR="0029464C" w:rsidRDefault="003B4115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The government </w:t>
      </w:r>
      <w:r w:rsidR="002B6E71">
        <w:rPr>
          <w:rFonts w:ascii="Century Gothic" w:eastAsia="Times New Roman" w:hAnsi="Century Gothic" w:cs="Calibri"/>
          <w:color w:val="000000"/>
          <w:lang w:eastAsia="en-AU"/>
        </w:rPr>
        <w:t xml:space="preserve">originally 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>tabled the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Bill 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>on 2 February 2016 and i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t </w:t>
      </w:r>
      <w:r w:rsidR="002B6E71">
        <w:rPr>
          <w:rFonts w:ascii="Century Gothic" w:eastAsia="Times New Roman" w:hAnsi="Century Gothic" w:cs="Calibri"/>
          <w:color w:val="000000"/>
          <w:lang w:eastAsia="en-AU"/>
        </w:rPr>
        <w:t>was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identical to </w:t>
      </w:r>
      <w:r w:rsidR="002E5DCB">
        <w:rPr>
          <w:rFonts w:ascii="Century Gothic" w:eastAsia="Times New Roman" w:hAnsi="Century Gothic" w:cs="Calibri"/>
          <w:color w:val="000000"/>
          <w:lang w:eastAsia="en-AU"/>
        </w:rPr>
        <w:t>an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earlier defeated </w:t>
      </w:r>
      <w:r w:rsidR="0017323E">
        <w:rPr>
          <w:rFonts w:ascii="Century Gothic" w:eastAsia="Times New Roman" w:hAnsi="Century Gothic" w:cs="Calibri"/>
          <w:color w:val="000000"/>
          <w:lang w:eastAsia="en-AU"/>
        </w:rPr>
        <w:t xml:space="preserve">government </w:t>
      </w:r>
      <w:r>
        <w:rPr>
          <w:rFonts w:ascii="Century Gothic" w:eastAsia="Times New Roman" w:hAnsi="Century Gothic" w:cs="Calibri"/>
          <w:color w:val="000000"/>
          <w:lang w:eastAsia="en-AU"/>
        </w:rPr>
        <w:t>Bill of the same name</w:t>
      </w:r>
      <w:r w:rsidR="0029464C">
        <w:rPr>
          <w:rFonts w:ascii="Century Gothic" w:eastAsia="Times New Roman" w:hAnsi="Century Gothic" w:cs="Calibri"/>
          <w:color w:val="000000"/>
          <w:lang w:eastAsia="en-AU"/>
        </w:rPr>
        <w:t xml:space="preserve">. </w:t>
      </w:r>
    </w:p>
    <w:p w:rsidR="003B4115" w:rsidRDefault="003B4115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The </w:t>
      </w:r>
      <w:r w:rsidR="002B6E71">
        <w:rPr>
          <w:rFonts w:ascii="Century Gothic" w:eastAsia="Times New Roman" w:hAnsi="Century Gothic" w:cs="Calibri"/>
          <w:color w:val="000000"/>
          <w:lang w:eastAsia="en-AU"/>
        </w:rPr>
        <w:t>latest version of the</w:t>
      </w:r>
      <w:r w:rsidR="0017323E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2B6E71">
        <w:rPr>
          <w:rFonts w:ascii="Century Gothic" w:eastAsia="Times New Roman" w:hAnsi="Century Gothic" w:cs="Calibri"/>
          <w:color w:val="000000"/>
          <w:lang w:eastAsia="en-AU"/>
        </w:rPr>
        <w:t xml:space="preserve">Bill had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passed through the House of Representatives 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 xml:space="preserve">in early February </w:t>
      </w:r>
      <w:r w:rsidR="00B472D4">
        <w:rPr>
          <w:rFonts w:ascii="Century Gothic" w:eastAsia="Times New Roman" w:hAnsi="Century Gothic" w:cs="Calibri"/>
          <w:color w:val="000000"/>
          <w:lang w:eastAsia="en-AU"/>
        </w:rPr>
        <w:t>2016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2B6E71">
        <w:rPr>
          <w:rFonts w:ascii="Century Gothic" w:eastAsia="Times New Roman" w:hAnsi="Century Gothic" w:cs="Calibri"/>
          <w:color w:val="000000"/>
          <w:lang w:eastAsia="en-AU"/>
        </w:rPr>
        <w:t xml:space="preserve">but </w:t>
      </w:r>
      <w:r w:rsidR="00AD4B34">
        <w:rPr>
          <w:rFonts w:ascii="Century Gothic" w:eastAsia="Times New Roman" w:hAnsi="Century Gothic" w:cs="Calibri"/>
          <w:color w:val="000000"/>
          <w:lang w:eastAsia="en-AU"/>
        </w:rPr>
        <w:t>had been</w:t>
      </w:r>
      <w:r w:rsidR="002B6E71">
        <w:rPr>
          <w:rFonts w:ascii="Century Gothic" w:eastAsia="Times New Roman" w:hAnsi="Century Gothic" w:cs="Calibri"/>
          <w:color w:val="000000"/>
          <w:lang w:eastAsia="en-AU"/>
        </w:rPr>
        <w:t xml:space="preserve"> stuck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before the Senate. </w:t>
      </w:r>
    </w:p>
    <w:p w:rsidR="002B6E71" w:rsidRDefault="002B6E71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While several cross-Bench Senators proposed amendments to the Bill, it failed to pass through parliament</w:t>
      </w:r>
      <w:r w:rsidR="002E099B">
        <w:rPr>
          <w:rFonts w:ascii="Century Gothic" w:eastAsia="Times New Roman" w:hAnsi="Century Gothic" w:cs="Calibri"/>
          <w:color w:val="000000"/>
          <w:lang w:eastAsia="en-AU"/>
        </w:rPr>
        <w:t xml:space="preserve"> on 18 April 2016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and consequently provided Prime Minister Malcolm Turnbull with the necessary double dissolution trigger. The PM has since indicated that a double dissolution federal election is likely on 2 July 2016.</w:t>
      </w:r>
    </w:p>
    <w:p w:rsidR="00B7754E" w:rsidRDefault="00B7754E" w:rsidP="00B7754E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The Bill was voted down (“negatived”) on 18 April 2016 by a vote of 36 Senators to 34. Of the eight Senate cross-benchers, four voted in favour of the Bill (Day, Leyonhjelm, Wang and Xenophon) while four voted against it (Lazarus, Madigan, Lambie and Muir).</w:t>
      </w:r>
    </w:p>
    <w:p w:rsidR="00FA398D" w:rsidRDefault="00FA398D" w:rsidP="00FA398D">
      <w:pPr>
        <w:spacing w:beforeLines="120" w:before="288" w:afterLines="120" w:after="288"/>
        <w:rPr>
          <w:rFonts w:ascii="Century Gothic" w:eastAsia="Times New Roman" w:hAnsi="Century Gothic" w:cs="Calibri"/>
          <w:lang w:eastAsia="en-AU"/>
        </w:rPr>
      </w:pPr>
      <w:r>
        <w:rPr>
          <w:rFonts w:ascii="Century Gothic" w:eastAsia="Times New Roman" w:hAnsi="Century Gothic" w:cs="Calibri"/>
          <w:lang w:eastAsia="en-AU"/>
        </w:rPr>
        <w:t xml:space="preserve">The Bill </w:t>
      </w:r>
      <w:r w:rsidR="002B6E71">
        <w:rPr>
          <w:rFonts w:ascii="Century Gothic" w:eastAsia="Times New Roman" w:hAnsi="Century Gothic" w:cs="Calibri"/>
          <w:lang w:eastAsia="en-AU"/>
        </w:rPr>
        <w:t>had sought</w:t>
      </w:r>
      <w:r w:rsidRPr="003B0733">
        <w:rPr>
          <w:rFonts w:ascii="Century Gothic" w:eastAsia="Times New Roman" w:hAnsi="Century Gothic" w:cs="Calibri"/>
          <w:lang w:eastAsia="en-AU"/>
        </w:rPr>
        <w:t xml:space="preserve"> to reinstate the former powers of the Australian Building &amp; Construction Commission (ABCC) </w:t>
      </w:r>
      <w:r>
        <w:rPr>
          <w:rFonts w:ascii="Century Gothic" w:eastAsia="Times New Roman" w:hAnsi="Century Gothic" w:cs="Calibri"/>
          <w:lang w:eastAsia="en-AU"/>
        </w:rPr>
        <w:t>along with</w:t>
      </w:r>
      <w:r w:rsidRPr="003B0733">
        <w:rPr>
          <w:rFonts w:ascii="Century Gothic" w:eastAsia="Times New Roman" w:hAnsi="Century Gothic" w:cs="Calibri"/>
          <w:lang w:eastAsia="en-AU"/>
        </w:rPr>
        <w:t xml:space="preserve"> the former provisions of the Building &amp; Construction Industry Improvement Act</w:t>
      </w:r>
      <w:r>
        <w:rPr>
          <w:rFonts w:ascii="Century Gothic" w:eastAsia="Times New Roman" w:hAnsi="Century Gothic" w:cs="Calibri"/>
          <w:lang w:eastAsia="en-AU"/>
        </w:rPr>
        <w:t xml:space="preserve"> (BCII Act)</w:t>
      </w:r>
      <w:r w:rsidRPr="003B0733">
        <w:rPr>
          <w:rFonts w:ascii="Century Gothic" w:eastAsia="Times New Roman" w:hAnsi="Century Gothic" w:cs="Calibri"/>
          <w:lang w:eastAsia="en-AU"/>
        </w:rPr>
        <w:t xml:space="preserve">, </w:t>
      </w:r>
      <w:r>
        <w:rPr>
          <w:rFonts w:ascii="Century Gothic" w:eastAsia="Times New Roman" w:hAnsi="Century Gothic" w:cs="Calibri"/>
          <w:lang w:eastAsia="en-AU"/>
        </w:rPr>
        <w:t>with some</w:t>
      </w:r>
      <w:r w:rsidRPr="003B0733">
        <w:rPr>
          <w:rFonts w:ascii="Century Gothic" w:eastAsia="Times New Roman" w:hAnsi="Century Gothic" w:cs="Calibri"/>
          <w:lang w:eastAsia="en-AU"/>
        </w:rPr>
        <w:t xml:space="preserve"> modifications. </w:t>
      </w:r>
    </w:p>
    <w:p w:rsidR="00FA398D" w:rsidRDefault="00FA398D" w:rsidP="00FA398D">
      <w:pPr>
        <w:spacing w:beforeLines="120" w:before="288" w:afterLines="120" w:after="288"/>
        <w:rPr>
          <w:rFonts w:ascii="Century Gothic" w:eastAsia="Times New Roman" w:hAnsi="Century Gothic" w:cs="Calibri"/>
          <w:lang w:eastAsia="en-AU"/>
        </w:rPr>
      </w:pPr>
      <w:r>
        <w:rPr>
          <w:rFonts w:ascii="Century Gothic" w:eastAsia="Times New Roman" w:hAnsi="Century Gothic" w:cs="Calibri"/>
          <w:lang w:eastAsia="en-AU"/>
        </w:rPr>
        <w:t xml:space="preserve">In particular, </w:t>
      </w:r>
      <w:r w:rsidR="00B472D4">
        <w:rPr>
          <w:rFonts w:ascii="Century Gothic" w:eastAsia="Times New Roman" w:hAnsi="Century Gothic" w:cs="Calibri"/>
          <w:lang w:eastAsia="en-AU"/>
        </w:rPr>
        <w:t>the Bill</w:t>
      </w:r>
      <w:r>
        <w:rPr>
          <w:rFonts w:ascii="Century Gothic" w:eastAsia="Times New Roman" w:hAnsi="Century Gothic" w:cs="Calibri"/>
          <w:lang w:eastAsia="en-AU"/>
        </w:rPr>
        <w:t xml:space="preserve"> </w:t>
      </w:r>
      <w:r w:rsidR="009B2F63">
        <w:rPr>
          <w:rFonts w:ascii="Century Gothic" w:eastAsia="Times New Roman" w:hAnsi="Century Gothic" w:cs="Calibri"/>
          <w:lang w:eastAsia="en-AU"/>
        </w:rPr>
        <w:t>sought</w:t>
      </w:r>
      <w:r>
        <w:rPr>
          <w:rFonts w:ascii="Century Gothic" w:eastAsia="Times New Roman" w:hAnsi="Century Gothic" w:cs="Calibri"/>
          <w:lang w:eastAsia="en-AU"/>
        </w:rPr>
        <w:t xml:space="preserve"> </w:t>
      </w:r>
      <w:r w:rsidRPr="003B0733">
        <w:rPr>
          <w:rFonts w:ascii="Century Gothic" w:eastAsia="Times New Roman" w:hAnsi="Century Gothic" w:cs="Calibri"/>
          <w:lang w:eastAsia="en-AU"/>
        </w:rPr>
        <w:t xml:space="preserve">to restore those parts of the BCII Act that provided for: 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higher penalties for unlawful conduct by </w:t>
      </w:r>
      <w:r>
        <w:rPr>
          <w:rFonts w:ascii="Century Gothic" w:eastAsia="Times New Roman" w:hAnsi="Century Gothic" w:cs="Calibri"/>
          <w:lang w:eastAsia="en-AU"/>
        </w:rPr>
        <w:t>building industry participants;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stronger prosecutorial powers for the inspectorate and its director; 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a broader definition of building work; 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greater scope for injunctions to stop unlawful industrial action; 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stronger anti-coercion </w:t>
      </w:r>
      <w:r>
        <w:rPr>
          <w:rFonts w:ascii="Century Gothic" w:eastAsia="Times New Roman" w:hAnsi="Century Gothic" w:cs="Calibri"/>
          <w:lang w:eastAsia="en-AU"/>
        </w:rPr>
        <w:t>measures</w:t>
      </w:r>
      <w:r w:rsidRPr="00740011">
        <w:rPr>
          <w:rFonts w:ascii="Century Gothic" w:eastAsia="Times New Roman" w:hAnsi="Century Gothic" w:cs="Calibri"/>
          <w:lang w:eastAsia="en-AU"/>
        </w:rPr>
        <w:t xml:space="preserve">; 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lastRenderedPageBreak/>
        <w:t xml:space="preserve">more effective compulsory information gathering powers; and </w:t>
      </w:r>
    </w:p>
    <w:p w:rsidR="00FA398D" w:rsidRPr="00740011" w:rsidRDefault="00FA398D" w:rsidP="00FA398D">
      <w:pPr>
        <w:pStyle w:val="ListParagraph"/>
        <w:numPr>
          <w:ilvl w:val="0"/>
          <w:numId w:val="9"/>
        </w:numPr>
        <w:spacing w:beforeLines="120" w:before="288" w:afterLines="120" w:after="288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lang w:eastAsia="en-AU"/>
        </w:rPr>
        <w:t>greater</w:t>
      </w:r>
      <w:r w:rsidRPr="00740011">
        <w:rPr>
          <w:rFonts w:ascii="Century Gothic" w:eastAsia="Times New Roman" w:hAnsi="Century Gothic" w:cs="Calibri"/>
          <w:lang w:eastAsia="en-AU"/>
        </w:rPr>
        <w:t xml:space="preserve"> independence of the inspectorate. </w:t>
      </w:r>
    </w:p>
    <w:p w:rsidR="00FA398D" w:rsidRDefault="002E5DCB" w:rsidP="00FA398D">
      <w:pPr>
        <w:spacing w:beforeLines="120" w:before="288" w:afterLines="120" w:after="288"/>
        <w:rPr>
          <w:rFonts w:ascii="Century Gothic" w:eastAsia="Times New Roman" w:hAnsi="Century Gothic" w:cs="Calibri"/>
          <w:lang w:eastAsia="en-AU"/>
        </w:rPr>
      </w:pPr>
      <w:r>
        <w:rPr>
          <w:rFonts w:ascii="Century Gothic" w:eastAsia="Times New Roman" w:hAnsi="Century Gothic" w:cs="Calibri"/>
          <w:lang w:eastAsia="en-AU"/>
        </w:rPr>
        <w:t>Other</w:t>
      </w:r>
      <w:r w:rsidR="00FA398D">
        <w:rPr>
          <w:rFonts w:ascii="Century Gothic" w:eastAsia="Times New Roman" w:hAnsi="Century Gothic" w:cs="Calibri"/>
          <w:lang w:eastAsia="en-AU"/>
        </w:rPr>
        <w:t xml:space="preserve"> provisions in the B</w:t>
      </w:r>
      <w:r w:rsidR="00FA398D" w:rsidRPr="00740011">
        <w:rPr>
          <w:rFonts w:ascii="Century Gothic" w:eastAsia="Times New Roman" w:hAnsi="Century Gothic" w:cs="Calibri"/>
          <w:lang w:eastAsia="en-AU"/>
        </w:rPr>
        <w:t xml:space="preserve">ill </w:t>
      </w:r>
      <w:r w:rsidR="009B2F63">
        <w:rPr>
          <w:rFonts w:ascii="Century Gothic" w:eastAsia="Times New Roman" w:hAnsi="Century Gothic" w:cs="Calibri"/>
          <w:lang w:eastAsia="en-AU"/>
        </w:rPr>
        <w:t>sought</w:t>
      </w:r>
      <w:r w:rsidR="00FA398D" w:rsidRPr="00740011">
        <w:rPr>
          <w:rFonts w:ascii="Century Gothic" w:eastAsia="Times New Roman" w:hAnsi="Century Gothic" w:cs="Calibri"/>
          <w:lang w:eastAsia="en-AU"/>
        </w:rPr>
        <w:t xml:space="preserve">: </w:t>
      </w:r>
    </w:p>
    <w:p w:rsidR="00FA398D" w:rsidRPr="00740011" w:rsidRDefault="00FA398D" w:rsidP="00FA398D">
      <w:pPr>
        <w:pStyle w:val="ListParagraph"/>
        <w:numPr>
          <w:ilvl w:val="0"/>
          <w:numId w:val="13"/>
        </w:numPr>
        <w:spacing w:beforeLines="120" w:before="288" w:afterLines="120" w:after="288" w:line="240" w:lineRule="auto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its regulation to be extended to some offshore construction projects; </w:t>
      </w:r>
    </w:p>
    <w:p w:rsidR="00FA398D" w:rsidRPr="00740011" w:rsidRDefault="00FA398D" w:rsidP="00FA398D">
      <w:pPr>
        <w:pStyle w:val="ListParagraph"/>
        <w:numPr>
          <w:ilvl w:val="0"/>
          <w:numId w:val="13"/>
        </w:numPr>
        <w:spacing w:beforeLines="120" w:before="288" w:afterLines="120" w:after="288" w:line="240" w:lineRule="auto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strict rules around unlawful picketing; </w:t>
      </w:r>
    </w:p>
    <w:p w:rsidR="00FA398D" w:rsidRPr="00740011" w:rsidRDefault="00FA398D" w:rsidP="00FA398D">
      <w:pPr>
        <w:pStyle w:val="ListParagraph"/>
        <w:numPr>
          <w:ilvl w:val="0"/>
          <w:numId w:val="13"/>
        </w:numPr>
        <w:spacing w:beforeLines="120" w:before="288" w:afterLines="120" w:after="288" w:line="240" w:lineRule="auto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 xml:space="preserve">bolstered rules around taking industrial action that </w:t>
      </w:r>
      <w:r w:rsidR="00B472D4">
        <w:rPr>
          <w:rFonts w:ascii="Century Gothic" w:eastAsia="Times New Roman" w:hAnsi="Century Gothic" w:cs="Calibri"/>
          <w:lang w:eastAsia="en-AU"/>
        </w:rPr>
        <w:t>sought</w:t>
      </w:r>
      <w:r>
        <w:rPr>
          <w:rFonts w:ascii="Century Gothic" w:eastAsia="Times New Roman" w:hAnsi="Century Gothic" w:cs="Calibri"/>
          <w:lang w:eastAsia="en-AU"/>
        </w:rPr>
        <w:t xml:space="preserve"> to</w:t>
      </w:r>
      <w:r w:rsidRPr="00740011">
        <w:rPr>
          <w:rFonts w:ascii="Century Gothic" w:eastAsia="Times New Roman" w:hAnsi="Century Gothic" w:cs="Calibri"/>
          <w:lang w:eastAsia="en-AU"/>
        </w:rPr>
        <w:t xml:space="preserve"> hold unions more accountable for their members' conduct; and </w:t>
      </w:r>
    </w:p>
    <w:p w:rsidR="00FA398D" w:rsidRPr="00740011" w:rsidRDefault="00FA398D" w:rsidP="00FA398D">
      <w:pPr>
        <w:pStyle w:val="ListParagraph"/>
        <w:numPr>
          <w:ilvl w:val="0"/>
          <w:numId w:val="13"/>
        </w:numPr>
        <w:spacing w:beforeLines="120" w:before="288" w:afterLines="120" w:after="288" w:line="240" w:lineRule="auto"/>
        <w:contextualSpacing w:val="0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lang w:eastAsia="en-AU"/>
        </w:rPr>
        <w:t xml:space="preserve">a </w:t>
      </w:r>
      <w:r w:rsidRPr="00740011">
        <w:rPr>
          <w:rFonts w:ascii="Century Gothic" w:eastAsia="Times New Roman" w:hAnsi="Century Gothic" w:cs="Calibri"/>
          <w:lang w:eastAsia="en-AU"/>
        </w:rPr>
        <w:t>reverse onus of proof applied to some c</w:t>
      </w:r>
      <w:r>
        <w:rPr>
          <w:rFonts w:ascii="Century Gothic" w:eastAsia="Times New Roman" w:hAnsi="Century Gothic" w:cs="Calibri"/>
          <w:lang w:eastAsia="en-AU"/>
        </w:rPr>
        <w:t>oercive and unlawful activities</w:t>
      </w:r>
      <w:r w:rsidRPr="00740011">
        <w:rPr>
          <w:rFonts w:ascii="Century Gothic" w:eastAsia="Times New Roman" w:hAnsi="Century Gothic" w:cs="Calibri"/>
          <w:lang w:eastAsia="en-AU"/>
        </w:rPr>
        <w:t xml:space="preserve"> as well as to </w:t>
      </w:r>
      <w:r>
        <w:rPr>
          <w:rFonts w:ascii="Century Gothic" w:eastAsia="Times New Roman" w:hAnsi="Century Gothic" w:cs="Calibri"/>
          <w:lang w:eastAsia="en-AU"/>
        </w:rPr>
        <w:t>individuals</w:t>
      </w:r>
      <w:r w:rsidRPr="00740011">
        <w:rPr>
          <w:rFonts w:ascii="Century Gothic" w:eastAsia="Times New Roman" w:hAnsi="Century Gothic" w:cs="Calibri"/>
          <w:lang w:eastAsia="en-AU"/>
        </w:rPr>
        <w:t xml:space="preserve"> seeking to stop work on alleged health and safety grounds. </w:t>
      </w:r>
    </w:p>
    <w:p w:rsidR="00FA398D" w:rsidRDefault="00FA398D" w:rsidP="00FA398D">
      <w:pPr>
        <w:spacing w:beforeLines="120" w:before="288" w:afterLines="120" w:after="288"/>
        <w:rPr>
          <w:rFonts w:ascii="Century Gothic" w:eastAsia="Times New Roman" w:hAnsi="Century Gothic" w:cs="Calibri"/>
          <w:lang w:eastAsia="en-AU"/>
        </w:rPr>
      </w:pPr>
      <w:r w:rsidRPr="00740011">
        <w:rPr>
          <w:rFonts w:ascii="Century Gothic" w:eastAsia="Times New Roman" w:hAnsi="Century Gothic" w:cs="Calibri"/>
          <w:lang w:eastAsia="en-AU"/>
        </w:rPr>
        <w:t>The legislation</w:t>
      </w:r>
      <w:r>
        <w:rPr>
          <w:rFonts w:ascii="Century Gothic" w:eastAsia="Times New Roman" w:hAnsi="Century Gothic" w:cs="Calibri"/>
          <w:lang w:eastAsia="en-AU"/>
        </w:rPr>
        <w:t xml:space="preserve">, </w:t>
      </w:r>
      <w:r w:rsidR="009B2F63">
        <w:rPr>
          <w:rFonts w:ascii="Century Gothic" w:eastAsia="Times New Roman" w:hAnsi="Century Gothic" w:cs="Calibri"/>
          <w:lang w:eastAsia="en-AU"/>
        </w:rPr>
        <w:t>had it succeeded</w:t>
      </w:r>
      <w:r>
        <w:rPr>
          <w:rFonts w:ascii="Century Gothic" w:eastAsia="Times New Roman" w:hAnsi="Century Gothic" w:cs="Calibri"/>
          <w:lang w:eastAsia="en-AU"/>
        </w:rPr>
        <w:t>,</w:t>
      </w:r>
      <w:r w:rsidRPr="00740011">
        <w:rPr>
          <w:rFonts w:ascii="Century Gothic" w:eastAsia="Times New Roman" w:hAnsi="Century Gothic" w:cs="Calibri"/>
          <w:lang w:eastAsia="en-AU"/>
        </w:rPr>
        <w:t xml:space="preserve"> would</w:t>
      </w:r>
      <w:r w:rsidR="009B2F63">
        <w:rPr>
          <w:rFonts w:ascii="Century Gothic" w:eastAsia="Times New Roman" w:hAnsi="Century Gothic" w:cs="Calibri"/>
          <w:lang w:eastAsia="en-AU"/>
        </w:rPr>
        <w:t xml:space="preserve"> have</w:t>
      </w:r>
      <w:r w:rsidRPr="00740011">
        <w:rPr>
          <w:rFonts w:ascii="Century Gothic" w:eastAsia="Times New Roman" w:hAnsi="Century Gothic" w:cs="Calibri"/>
          <w:lang w:eastAsia="en-AU"/>
        </w:rPr>
        <w:t xml:space="preserve"> </w:t>
      </w:r>
      <w:r>
        <w:rPr>
          <w:rFonts w:ascii="Century Gothic" w:eastAsia="Times New Roman" w:hAnsi="Century Gothic" w:cs="Calibri"/>
          <w:lang w:eastAsia="en-AU"/>
        </w:rPr>
        <w:t>repeal</w:t>
      </w:r>
      <w:r w:rsidR="009B2F63">
        <w:rPr>
          <w:rFonts w:ascii="Century Gothic" w:eastAsia="Times New Roman" w:hAnsi="Century Gothic" w:cs="Calibri"/>
          <w:lang w:eastAsia="en-AU"/>
        </w:rPr>
        <w:t>ed</w:t>
      </w:r>
      <w:r w:rsidRPr="00740011">
        <w:rPr>
          <w:rFonts w:ascii="Century Gothic" w:eastAsia="Times New Roman" w:hAnsi="Century Gothic" w:cs="Calibri"/>
          <w:lang w:eastAsia="en-AU"/>
        </w:rPr>
        <w:t xml:space="preserve"> and replace</w:t>
      </w:r>
      <w:r w:rsidR="009B2F63">
        <w:rPr>
          <w:rFonts w:ascii="Century Gothic" w:eastAsia="Times New Roman" w:hAnsi="Century Gothic" w:cs="Calibri"/>
          <w:lang w:eastAsia="en-AU"/>
        </w:rPr>
        <w:t>d</w:t>
      </w:r>
      <w:r w:rsidRPr="00740011">
        <w:rPr>
          <w:rFonts w:ascii="Century Gothic" w:eastAsia="Times New Roman" w:hAnsi="Century Gothic" w:cs="Calibri"/>
          <w:lang w:eastAsia="en-AU"/>
        </w:rPr>
        <w:t xml:space="preserve"> the Fair Work (Building Industry</w:t>
      </w:r>
      <w:r w:rsidR="002E5DCB">
        <w:rPr>
          <w:rFonts w:ascii="Century Gothic" w:eastAsia="Times New Roman" w:hAnsi="Century Gothic" w:cs="Calibri"/>
          <w:lang w:eastAsia="en-AU"/>
        </w:rPr>
        <w:t>) Act 2012 as well as reg</w:t>
      </w:r>
      <w:r w:rsidR="00B472D4">
        <w:rPr>
          <w:rFonts w:ascii="Century Gothic" w:eastAsia="Times New Roman" w:hAnsi="Century Gothic" w:cs="Calibri"/>
          <w:lang w:eastAsia="en-AU"/>
        </w:rPr>
        <w:t>ulating</w:t>
      </w:r>
      <w:r w:rsidRPr="00740011">
        <w:rPr>
          <w:rFonts w:ascii="Century Gothic" w:eastAsia="Times New Roman" w:hAnsi="Century Gothic" w:cs="Calibri"/>
          <w:lang w:eastAsia="en-AU"/>
        </w:rPr>
        <w:t xml:space="preserve"> various aspects of building industry conduct that are currently regulated by the Fair Work Act 2009 </w:t>
      </w:r>
      <w:r>
        <w:rPr>
          <w:rFonts w:ascii="Century Gothic" w:eastAsia="Times New Roman" w:hAnsi="Century Gothic" w:cs="Calibri"/>
          <w:lang w:eastAsia="en-AU"/>
        </w:rPr>
        <w:t>(</w:t>
      </w:r>
      <w:r w:rsidR="009B2F63">
        <w:rPr>
          <w:rFonts w:ascii="Century Gothic" w:eastAsia="Times New Roman" w:hAnsi="Century Gothic" w:cs="Calibri"/>
          <w:lang w:eastAsia="en-AU"/>
        </w:rPr>
        <w:t>but</w:t>
      </w:r>
      <w:r>
        <w:rPr>
          <w:rFonts w:ascii="Century Gothic" w:eastAsia="Times New Roman" w:hAnsi="Century Gothic" w:cs="Calibri"/>
          <w:lang w:eastAsia="en-AU"/>
        </w:rPr>
        <w:t xml:space="preserve"> were </w:t>
      </w:r>
      <w:r w:rsidRPr="00740011">
        <w:rPr>
          <w:rFonts w:ascii="Century Gothic" w:eastAsia="Times New Roman" w:hAnsi="Century Gothic" w:cs="Calibri"/>
          <w:lang w:eastAsia="en-AU"/>
        </w:rPr>
        <w:t>formerly regulated by the BCII Act</w:t>
      </w:r>
      <w:r>
        <w:rPr>
          <w:rFonts w:ascii="Century Gothic" w:eastAsia="Times New Roman" w:hAnsi="Century Gothic" w:cs="Calibri"/>
          <w:lang w:eastAsia="en-AU"/>
        </w:rPr>
        <w:t>)</w:t>
      </w:r>
      <w:r w:rsidRPr="00740011">
        <w:rPr>
          <w:rFonts w:ascii="Century Gothic" w:eastAsia="Times New Roman" w:hAnsi="Century Gothic" w:cs="Calibri"/>
          <w:lang w:eastAsia="en-AU"/>
        </w:rPr>
        <w:t xml:space="preserve">. </w:t>
      </w:r>
    </w:p>
    <w:p w:rsidR="00731E69" w:rsidRDefault="003B4115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To view the</w:t>
      </w:r>
      <w:r w:rsidR="00B7754E">
        <w:rPr>
          <w:rFonts w:ascii="Century Gothic" w:eastAsia="Times New Roman" w:hAnsi="Century Gothic" w:cs="Calibri"/>
          <w:color w:val="000000"/>
          <w:lang w:eastAsia="en-AU"/>
        </w:rPr>
        <w:t xml:space="preserve"> unsuccessful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Bill and its </w:t>
      </w:r>
      <w:r w:rsidR="009B2F63">
        <w:rPr>
          <w:rFonts w:ascii="Century Gothic" w:eastAsia="Times New Roman" w:hAnsi="Century Gothic" w:cs="Calibri"/>
          <w:color w:val="000000"/>
          <w:lang w:eastAsia="en-AU"/>
        </w:rPr>
        <w:t>journey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through parliament, click </w:t>
      </w:r>
      <w:hyperlink r:id="rId8" w:history="1">
        <w:r w:rsidRPr="003B4115">
          <w:rPr>
            <w:rStyle w:val="Hyperlink"/>
            <w:rFonts w:ascii="Century Gothic" w:eastAsia="Times New Roman" w:hAnsi="Century Gothic" w:cs="Calibri"/>
            <w:lang w:eastAsia="en-AU"/>
          </w:rPr>
          <w:t>here</w:t>
        </w:r>
      </w:hyperlink>
      <w:r>
        <w:rPr>
          <w:rFonts w:ascii="Century Gothic" w:eastAsia="Times New Roman" w:hAnsi="Century Gothic" w:cs="Calibri"/>
          <w:color w:val="000000"/>
          <w:lang w:eastAsia="en-AU"/>
        </w:rPr>
        <w:t>.</w:t>
      </w:r>
    </w:p>
    <w:p w:rsidR="00731E69" w:rsidRPr="000E1B53" w:rsidRDefault="00731E69" w:rsidP="00731E69">
      <w:pPr>
        <w:spacing w:beforeLines="120" w:before="288" w:afterLines="120" w:after="288"/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</w:pPr>
      <w:r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 xml:space="preserve">Road Safety Remuneration Repeal </w:t>
      </w:r>
      <w:r w:rsidR="004C67B0"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>Act</w:t>
      </w:r>
      <w:r w:rsidR="00650678">
        <w:rPr>
          <w:rFonts w:ascii="Century Gothic" w:eastAsia="Times New Roman" w:hAnsi="Century Gothic" w:cs="Calibri"/>
          <w:b/>
          <w:color w:val="000000"/>
          <w:sz w:val="28"/>
          <w:szCs w:val="28"/>
          <w:lang w:eastAsia="en-AU"/>
        </w:rPr>
        <w:t xml:space="preserve"> 2016</w:t>
      </w:r>
    </w:p>
    <w:p w:rsidR="00731E69" w:rsidRDefault="004C67B0" w:rsidP="00731E6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The </w:t>
      </w:r>
      <w:r w:rsidR="00B472D4">
        <w:rPr>
          <w:rFonts w:ascii="Century Gothic" w:eastAsia="Times New Roman" w:hAnsi="Century Gothic" w:cs="Calibri"/>
          <w:color w:val="000000"/>
          <w:lang w:eastAsia="en-AU"/>
        </w:rPr>
        <w:t xml:space="preserve">Federal Government tabled the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Road Safety Remuneration </w:t>
      </w:r>
      <w:r w:rsidR="00B472D4">
        <w:rPr>
          <w:rFonts w:ascii="Century Gothic" w:eastAsia="Times New Roman" w:hAnsi="Century Gothic" w:cs="Calibri"/>
          <w:color w:val="000000"/>
          <w:lang w:eastAsia="en-AU"/>
        </w:rPr>
        <w:t xml:space="preserve">Repeal Bill 2016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in </w:t>
      </w:r>
      <w:r w:rsidR="00B15358">
        <w:rPr>
          <w:rFonts w:ascii="Century Gothic" w:eastAsia="Times New Roman" w:hAnsi="Century Gothic" w:cs="Calibri"/>
          <w:color w:val="000000"/>
          <w:lang w:eastAsia="en-AU"/>
        </w:rPr>
        <w:t xml:space="preserve">parliament on 18 April 2016 and </w:t>
      </w:r>
      <w:r w:rsidR="00B472D4">
        <w:rPr>
          <w:rFonts w:ascii="Century Gothic" w:eastAsia="Times New Roman" w:hAnsi="Century Gothic" w:cs="Calibri"/>
          <w:color w:val="000000"/>
          <w:lang w:eastAsia="en-AU"/>
        </w:rPr>
        <w:t xml:space="preserve">it </w:t>
      </w:r>
      <w:r w:rsidR="00B15358">
        <w:rPr>
          <w:rFonts w:ascii="Century Gothic" w:eastAsia="Times New Roman" w:hAnsi="Century Gothic" w:cs="Calibri"/>
          <w:color w:val="000000"/>
          <w:lang w:eastAsia="en-AU"/>
        </w:rPr>
        <w:t>passed through both houses of parliament swiftly, receiving Royal Assent on 19 April 2016 and taking effect two days later (21 April 2016).</w:t>
      </w:r>
    </w:p>
    <w:p w:rsidR="00B15358" w:rsidRDefault="00B15358" w:rsidP="00731E6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As a result of the Act passing into law, the Road Safety Remuneration Act 2012 has been repealed, and it was that Act that </w:t>
      </w:r>
      <w:r w:rsidR="00A051F0">
        <w:rPr>
          <w:rFonts w:ascii="Century Gothic" w:eastAsia="Times New Roman" w:hAnsi="Century Gothic" w:cs="Calibri"/>
          <w:color w:val="000000"/>
          <w:lang w:eastAsia="en-AU"/>
        </w:rPr>
        <w:t>gave the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Road Safety Remuneration Tribunal (RSRT) </w:t>
      </w:r>
      <w:r w:rsidR="00A051F0">
        <w:rPr>
          <w:rFonts w:ascii="Century Gothic" w:eastAsia="Times New Roman" w:hAnsi="Century Gothic" w:cs="Calibri"/>
          <w:color w:val="000000"/>
          <w:lang w:eastAsia="en-AU"/>
        </w:rPr>
        <w:t>life</w:t>
      </w:r>
      <w:r>
        <w:rPr>
          <w:rFonts w:ascii="Century Gothic" w:eastAsia="Times New Roman" w:hAnsi="Century Gothic" w:cs="Calibri"/>
          <w:color w:val="000000"/>
          <w:lang w:eastAsia="en-AU"/>
        </w:rPr>
        <w:t>.</w:t>
      </w:r>
    </w:p>
    <w:p w:rsidR="00BB2043" w:rsidRDefault="00A051F0" w:rsidP="00731E6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Consequently, t</w:t>
      </w:r>
      <w:r w:rsidR="00B15358">
        <w:rPr>
          <w:rFonts w:ascii="Century Gothic" w:eastAsia="Times New Roman" w:hAnsi="Century Gothic" w:cs="Calibri"/>
          <w:color w:val="000000"/>
          <w:lang w:eastAsia="en-AU"/>
        </w:rPr>
        <w:t xml:space="preserve">he RSRT 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>was</w:t>
      </w:r>
      <w:r w:rsidR="00B15358">
        <w:rPr>
          <w:rFonts w:ascii="Century Gothic" w:eastAsia="Times New Roman" w:hAnsi="Century Gothic" w:cs="Calibri"/>
          <w:color w:val="000000"/>
          <w:lang w:eastAsia="en-AU"/>
        </w:rPr>
        <w:t xml:space="preserve"> abolished 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 xml:space="preserve">with effect from 21 April 2016 </w:t>
      </w:r>
      <w:r w:rsidR="00B15358">
        <w:rPr>
          <w:rFonts w:ascii="Century Gothic" w:eastAsia="Times New Roman" w:hAnsi="Century Gothic" w:cs="Calibri"/>
          <w:color w:val="000000"/>
          <w:lang w:eastAsia="en-AU"/>
        </w:rPr>
        <w:t xml:space="preserve">and 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>so were all</w:t>
      </w:r>
      <w:r w:rsidR="00B15358">
        <w:rPr>
          <w:rFonts w:ascii="Century Gothic" w:eastAsia="Times New Roman" w:hAnsi="Century Gothic" w:cs="Calibri"/>
          <w:color w:val="000000"/>
          <w:lang w:eastAsia="en-AU"/>
        </w:rPr>
        <w:t xml:space="preserve"> orders 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 xml:space="preserve">previously </w:t>
      </w:r>
      <w:r>
        <w:rPr>
          <w:rFonts w:ascii="Century Gothic" w:eastAsia="Times New Roman" w:hAnsi="Century Gothic" w:cs="Calibri"/>
          <w:color w:val="000000"/>
          <w:lang w:eastAsia="en-AU"/>
        </w:rPr>
        <w:t>handed down by the tribunal. S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 xml:space="preserve">everal </w:t>
      </w:r>
      <w:r>
        <w:rPr>
          <w:rFonts w:ascii="Century Gothic" w:eastAsia="Times New Roman" w:hAnsi="Century Gothic" w:cs="Calibri"/>
          <w:color w:val="000000"/>
          <w:lang w:eastAsia="en-AU"/>
        </w:rPr>
        <w:t>more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AU"/>
        </w:rPr>
        <w:t>had been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 xml:space="preserve"> in the offing, including one that would have impacted on the oil and gas industry</w:t>
      </w:r>
      <w:r w:rsidR="008C1FD0">
        <w:rPr>
          <w:rFonts w:ascii="Century Gothic" w:eastAsia="Times New Roman" w:hAnsi="Century Gothic" w:cs="Calibri"/>
          <w:color w:val="000000"/>
          <w:lang w:eastAsia="en-AU"/>
        </w:rPr>
        <w:t>.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 xml:space="preserve"> An application by the TWU in 2014 had sought a remuneration order to apply to road transport drivers engaged in delivery by means of a tanker of oil, fuel, gas or petroleum products. That dispute will now go no further.</w:t>
      </w:r>
    </w:p>
    <w:p w:rsidR="00BB2043" w:rsidRDefault="00BB2043" w:rsidP="00731E6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At the time of its abolition, the RSRT had issued two enforceable orders</w:t>
      </w:r>
      <w:r w:rsidR="00A051F0">
        <w:rPr>
          <w:rFonts w:ascii="Century Gothic" w:eastAsia="Times New Roman" w:hAnsi="Century Gothic" w:cs="Calibri"/>
          <w:color w:val="000000"/>
          <w:lang w:eastAsia="en-AU"/>
        </w:rPr>
        <w:t xml:space="preserve">, both of which 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>ceased</w:t>
      </w:r>
      <w:r w:rsidR="00A051F0">
        <w:rPr>
          <w:rFonts w:ascii="Century Gothic" w:eastAsia="Times New Roman" w:hAnsi="Century Gothic" w:cs="Calibri"/>
          <w:color w:val="000000"/>
          <w:lang w:eastAsia="en-AU"/>
        </w:rPr>
        <w:t xml:space="preserve"> to have effect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 xml:space="preserve"> at midnight on 21 April 2016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. </w:t>
      </w:r>
    </w:p>
    <w:p w:rsidR="00BB2043" w:rsidRDefault="00BB2043" w:rsidP="00BB2043">
      <w:pPr>
        <w:pStyle w:val="ListParagraph"/>
        <w:numPr>
          <w:ilvl w:val="0"/>
          <w:numId w:val="29"/>
        </w:num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 w:rsidRPr="00BB2043">
        <w:rPr>
          <w:rFonts w:ascii="Century Gothic" w:eastAsia="Times New Roman" w:hAnsi="Century Gothic" w:cs="Calibri"/>
          <w:b/>
          <w:color w:val="000000"/>
          <w:lang w:eastAsia="en-AU"/>
        </w:rPr>
        <w:lastRenderedPageBreak/>
        <w:t>The Road Transport and Distribution Long Distance Operations Road Safety Remuneration Order 2014</w:t>
      </w:r>
      <w:r>
        <w:rPr>
          <w:rFonts w:ascii="Century Gothic" w:eastAsia="Times New Roman" w:hAnsi="Century Gothic" w:cs="Calibri"/>
          <w:color w:val="000000"/>
          <w:lang w:eastAsia="en-AU"/>
        </w:rPr>
        <w:t>, which set arrangements for payment and deduction conditions for owner drivers, provided health and safety and contract obligations and had protections from adverse conduct.</w:t>
      </w:r>
    </w:p>
    <w:p w:rsidR="00BB2043" w:rsidRPr="00BB2043" w:rsidRDefault="00BB2043" w:rsidP="00BB2043">
      <w:pPr>
        <w:pStyle w:val="ListParagraph"/>
        <w:numPr>
          <w:ilvl w:val="0"/>
          <w:numId w:val="29"/>
        </w:num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b/>
          <w:color w:val="000000"/>
          <w:lang w:eastAsia="en-AU"/>
        </w:rPr>
        <w:t xml:space="preserve">The Contractor Driver Minimum Payments Road Safety Remuneration Order 2016, </w:t>
      </w:r>
      <w:r w:rsidRPr="00BB2043">
        <w:rPr>
          <w:rFonts w:ascii="Century Gothic" w:eastAsia="Times New Roman" w:hAnsi="Century Gothic" w:cs="Calibri"/>
          <w:color w:val="000000"/>
          <w:lang w:eastAsia="en-AU"/>
        </w:rPr>
        <w:t xml:space="preserve">which was 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issued by the tribunal on 18 December 2015. It was due to commence on 4 April 2016 but its commencement was 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>later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deferred and 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>the order is now defunct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. 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>It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would have set mandatory minimum pay rates for owner drivers. </w:t>
      </w:r>
    </w:p>
    <w:p w:rsidR="00BB2043" w:rsidRDefault="00BB2043" w:rsidP="00731E6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According to the explanatory memorandum </w:t>
      </w:r>
      <w:r w:rsidR="00D55E91">
        <w:rPr>
          <w:rFonts w:ascii="Century Gothic" w:eastAsia="Times New Roman" w:hAnsi="Century Gothic" w:cs="Calibri"/>
          <w:color w:val="000000"/>
          <w:lang w:eastAsia="en-AU"/>
        </w:rPr>
        <w:t>to the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order:</w:t>
      </w:r>
    </w:p>
    <w:p w:rsidR="00BB2043" w:rsidRPr="00856506" w:rsidRDefault="00BB2043" w:rsidP="00856506">
      <w:pPr>
        <w:spacing w:beforeLines="120" w:before="288" w:afterLines="120" w:after="288"/>
        <w:ind w:left="567"/>
        <w:rPr>
          <w:rFonts w:ascii="Century Gothic" w:eastAsia="Times New Roman" w:hAnsi="Century Gothic" w:cs="Calibri"/>
          <w:i/>
          <w:color w:val="000000"/>
          <w:lang w:eastAsia="en-AU"/>
        </w:rPr>
      </w:pPr>
      <w:r w:rsidRPr="00856506">
        <w:rPr>
          <w:rFonts w:ascii="Century Gothic" w:eastAsia="Times New Roman" w:hAnsi="Century Gothic" w:cs="Calibri"/>
          <w:i/>
          <w:color w:val="000000"/>
          <w:lang w:eastAsia="en-AU"/>
        </w:rPr>
        <w:t>“While the 2016 order was intended to benefit owner drivers, overwhelmingly the industry including owner drivers and small road transport businesses oppose it.”</w:t>
      </w:r>
    </w:p>
    <w:p w:rsidR="00BB2043" w:rsidRDefault="00856506" w:rsidP="00731E69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>This</w:t>
      </w:r>
      <w:r w:rsidR="00BB2043">
        <w:rPr>
          <w:rFonts w:ascii="Century Gothic" w:eastAsia="Times New Roman" w:hAnsi="Century Gothic" w:cs="Calibri"/>
          <w:color w:val="000000"/>
          <w:lang w:eastAsia="en-AU"/>
        </w:rPr>
        <w:t xml:space="preserve"> was evidenced by proceedings before the tribunal and the Federal Court, eventually leading to a groundswell of support, including from AMMA and other industry groups, for the RSRT’s abolition.</w:t>
      </w:r>
    </w:p>
    <w:p w:rsidR="00731E69" w:rsidRDefault="00B15358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The Act </w:t>
      </w:r>
      <w:r w:rsidR="00856506">
        <w:rPr>
          <w:rFonts w:ascii="Century Gothic" w:eastAsia="Times New Roman" w:hAnsi="Century Gothic" w:cs="Calibri"/>
          <w:color w:val="000000"/>
          <w:lang w:eastAsia="en-AU"/>
        </w:rPr>
        <w:t>makes unnecessary another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Bill tabled </w:t>
      </w:r>
      <w:r w:rsidR="00487222">
        <w:rPr>
          <w:rFonts w:ascii="Century Gothic" w:eastAsia="Times New Roman" w:hAnsi="Century Gothic" w:cs="Calibri"/>
          <w:color w:val="000000"/>
          <w:lang w:eastAsia="en-AU"/>
        </w:rPr>
        <w:t xml:space="preserve">at the same time </w:t>
      </w:r>
      <w:r>
        <w:rPr>
          <w:rFonts w:ascii="Century Gothic" w:eastAsia="Times New Roman" w:hAnsi="Century Gothic" w:cs="Calibri"/>
          <w:color w:val="000000"/>
          <w:lang w:eastAsia="en-AU"/>
        </w:rPr>
        <w:t>defer</w:t>
      </w:r>
      <w:r w:rsidR="00487222">
        <w:rPr>
          <w:rFonts w:ascii="Century Gothic" w:eastAsia="Times New Roman" w:hAnsi="Century Gothic" w:cs="Calibri"/>
          <w:color w:val="000000"/>
          <w:lang w:eastAsia="en-AU"/>
        </w:rPr>
        <w:t>ring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 all road safety remuneration orders, </w:t>
      </w:r>
      <w:r w:rsidR="005C5CEA">
        <w:rPr>
          <w:rFonts w:ascii="Century Gothic" w:eastAsia="Times New Roman" w:hAnsi="Century Gothic" w:cs="Calibri"/>
          <w:color w:val="000000"/>
          <w:lang w:eastAsia="en-AU"/>
        </w:rPr>
        <w:t xml:space="preserve">including the </w:t>
      </w:r>
      <w:r>
        <w:rPr>
          <w:rFonts w:ascii="Century Gothic" w:eastAsia="Times New Roman" w:hAnsi="Century Gothic" w:cs="Calibri"/>
          <w:color w:val="000000"/>
          <w:lang w:eastAsia="en-AU"/>
        </w:rPr>
        <w:t>contractor driver order, until January 2017 (</w:t>
      </w:r>
      <w:r w:rsidRPr="00B15358">
        <w:rPr>
          <w:rFonts w:ascii="Century Gothic" w:eastAsia="Times New Roman" w:hAnsi="Century Gothic" w:cs="Calibri"/>
          <w:i/>
          <w:color w:val="000000"/>
          <w:lang w:eastAsia="en-AU"/>
        </w:rPr>
        <w:t>see below Bill for details</w:t>
      </w:r>
      <w:r>
        <w:rPr>
          <w:rFonts w:ascii="Century Gothic" w:eastAsia="Times New Roman" w:hAnsi="Century Gothic" w:cs="Calibri"/>
          <w:color w:val="000000"/>
          <w:lang w:eastAsia="en-AU"/>
        </w:rPr>
        <w:t>).</w:t>
      </w:r>
    </w:p>
    <w:p w:rsidR="00650678" w:rsidRDefault="004C67B0" w:rsidP="0029464C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>
        <w:rPr>
          <w:rFonts w:ascii="Century Gothic" w:eastAsia="Times New Roman" w:hAnsi="Century Gothic" w:cs="Calibri"/>
          <w:color w:val="000000"/>
          <w:lang w:eastAsia="en-AU"/>
        </w:rPr>
        <w:t xml:space="preserve">To view the final </w:t>
      </w:r>
      <w:r w:rsidR="006B784E">
        <w:rPr>
          <w:rFonts w:ascii="Century Gothic" w:eastAsia="Times New Roman" w:hAnsi="Century Gothic" w:cs="Calibri"/>
          <w:color w:val="000000"/>
          <w:lang w:eastAsia="en-AU"/>
        </w:rPr>
        <w:t>repeal</w:t>
      </w:r>
      <w:r w:rsidR="005C5CEA">
        <w:rPr>
          <w:rFonts w:ascii="Century Gothic" w:eastAsia="Times New Roman" w:hAnsi="Century Gothic" w:cs="Calibri"/>
          <w:color w:val="000000"/>
          <w:lang w:eastAsia="en-AU"/>
        </w:rPr>
        <w:t xml:space="preserve"> Act</w:t>
      </w:r>
      <w:r>
        <w:rPr>
          <w:rFonts w:ascii="Century Gothic" w:eastAsia="Times New Roman" w:hAnsi="Century Gothic" w:cs="Calibri"/>
          <w:color w:val="000000"/>
          <w:lang w:eastAsia="en-AU"/>
        </w:rPr>
        <w:t xml:space="preserve">, click </w:t>
      </w:r>
      <w:hyperlink r:id="rId9" w:history="1">
        <w:r w:rsidRPr="00C3431B">
          <w:rPr>
            <w:rStyle w:val="Hyperlink"/>
            <w:rFonts w:ascii="Century Gothic" w:eastAsia="Times New Roman" w:hAnsi="Century Gothic" w:cs="Calibri"/>
            <w:lang w:eastAsia="en-AU"/>
          </w:rPr>
          <w:t>here</w:t>
        </w:r>
      </w:hyperlink>
      <w:r>
        <w:rPr>
          <w:rFonts w:ascii="Century Gothic" w:eastAsia="Times New Roman" w:hAnsi="Century Gothic" w:cs="Calibri"/>
          <w:color w:val="000000"/>
          <w:lang w:eastAsia="en-AU"/>
        </w:rPr>
        <w:t>.</w:t>
      </w:r>
    </w:p>
    <w:p w:rsidR="006B784E" w:rsidRDefault="00D61BE9" w:rsidP="006B784E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 w:rsidRPr="005C5CEA">
        <w:rPr>
          <w:rFonts w:ascii="Century Gothic" w:eastAsia="Times New Roman" w:hAnsi="Century Gothic" w:cs="Calibri"/>
          <w:color w:val="000000"/>
          <w:lang w:eastAsia="en-AU"/>
        </w:rPr>
        <w:t>T</w:t>
      </w:r>
      <w:r w:rsidR="004C67B0" w:rsidRPr="005C5CEA">
        <w:rPr>
          <w:rFonts w:ascii="Century Gothic" w:eastAsia="Times New Roman" w:hAnsi="Century Gothic" w:cs="Calibri"/>
          <w:color w:val="000000"/>
          <w:lang w:eastAsia="en-AU"/>
        </w:rPr>
        <w:t>he Road Safety Remuneration Amendment (Protecting Owner Drivers) Bill 2016</w:t>
      </w:r>
      <w:r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had also been </w:t>
      </w:r>
      <w:r w:rsidR="004C67B0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tabled in parliament on </w:t>
      </w:r>
      <w:r w:rsidR="007537B2" w:rsidRPr="006B784E">
        <w:rPr>
          <w:rFonts w:ascii="Century Gothic" w:eastAsia="Times New Roman" w:hAnsi="Century Gothic" w:cs="Calibri"/>
          <w:color w:val="000000"/>
          <w:lang w:eastAsia="en-AU"/>
        </w:rPr>
        <w:t>18 April 2016 and was aimed at suspending the operation of the Contractor Driver Minimum Payments Order 2016, and any subsequent orders, until 1 January 2017.</w:t>
      </w:r>
      <w:r w:rsidR="008C1FD0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D9673D" w:rsidRPr="006B784E">
        <w:rPr>
          <w:rFonts w:ascii="Century Gothic" w:eastAsia="Times New Roman" w:hAnsi="Century Gothic" w:cs="Calibri"/>
          <w:color w:val="000000"/>
          <w:lang w:eastAsia="en-AU"/>
        </w:rPr>
        <w:t>The Bill did not pass through parliament</w:t>
      </w:r>
      <w:r w:rsidR="008C1FD0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in the latest sitting period</w:t>
      </w:r>
      <w:r w:rsidR="00D9673D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</w:t>
      </w:r>
      <w:r w:rsidR="005C5CEA">
        <w:rPr>
          <w:rFonts w:ascii="Century Gothic" w:eastAsia="Times New Roman" w:hAnsi="Century Gothic" w:cs="Calibri"/>
          <w:color w:val="000000"/>
          <w:lang w:eastAsia="en-AU"/>
        </w:rPr>
        <w:t>and</w:t>
      </w:r>
      <w:r w:rsidR="00D9673D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is </w:t>
      </w:r>
      <w:r w:rsidR="008C1FD0" w:rsidRPr="006B784E">
        <w:rPr>
          <w:rFonts w:ascii="Century Gothic" w:eastAsia="Times New Roman" w:hAnsi="Century Gothic" w:cs="Calibri"/>
          <w:color w:val="000000"/>
          <w:lang w:eastAsia="en-AU"/>
        </w:rPr>
        <w:t>now</w:t>
      </w:r>
      <w:r w:rsidR="00D9673D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unnecessary </w:t>
      </w:r>
      <w:r w:rsidR="005C5CEA">
        <w:rPr>
          <w:rFonts w:ascii="Century Gothic" w:eastAsia="Times New Roman" w:hAnsi="Century Gothic" w:cs="Calibri"/>
          <w:color w:val="000000"/>
          <w:lang w:eastAsia="en-AU"/>
        </w:rPr>
        <w:t>due to</w:t>
      </w:r>
      <w:r w:rsidR="008C1FD0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 the repeal of the RSRT</w:t>
      </w:r>
      <w:r w:rsidR="00D9673D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. </w:t>
      </w:r>
    </w:p>
    <w:p w:rsidR="00650678" w:rsidRPr="006B784E" w:rsidRDefault="00D9673D" w:rsidP="006B784E">
      <w:pPr>
        <w:spacing w:beforeLines="120" w:before="288" w:afterLines="120" w:after="288"/>
        <w:rPr>
          <w:rFonts w:ascii="Century Gothic" w:eastAsia="Times New Roman" w:hAnsi="Century Gothic" w:cs="Calibri"/>
          <w:color w:val="000000"/>
          <w:lang w:eastAsia="en-AU"/>
        </w:rPr>
      </w:pPr>
      <w:r w:rsidRPr="006B784E">
        <w:rPr>
          <w:rFonts w:ascii="Century Gothic" w:eastAsia="Times New Roman" w:hAnsi="Century Gothic" w:cs="Calibri"/>
          <w:color w:val="000000"/>
          <w:lang w:eastAsia="en-AU"/>
        </w:rPr>
        <w:t>To view the Bill</w:t>
      </w:r>
      <w:r w:rsidR="004C67B0" w:rsidRPr="006B784E">
        <w:rPr>
          <w:rFonts w:ascii="Century Gothic" w:eastAsia="Times New Roman" w:hAnsi="Century Gothic" w:cs="Calibri"/>
          <w:color w:val="000000"/>
          <w:lang w:eastAsia="en-AU"/>
        </w:rPr>
        <w:t xml:space="preserve">, click </w:t>
      </w:r>
      <w:hyperlink r:id="rId10" w:history="1">
        <w:r w:rsidR="004C67B0" w:rsidRPr="006B784E">
          <w:rPr>
            <w:rStyle w:val="Hyperlink"/>
            <w:rFonts w:ascii="Century Gothic" w:eastAsia="Times New Roman" w:hAnsi="Century Gothic" w:cs="Calibri"/>
            <w:lang w:eastAsia="en-AU"/>
          </w:rPr>
          <w:t>here</w:t>
        </w:r>
      </w:hyperlink>
      <w:r w:rsidR="004C67B0" w:rsidRPr="006B784E">
        <w:rPr>
          <w:rFonts w:ascii="Century Gothic" w:eastAsia="Times New Roman" w:hAnsi="Century Gothic" w:cs="Calibri"/>
          <w:color w:val="000000"/>
          <w:lang w:eastAsia="en-AU"/>
        </w:rPr>
        <w:t>.</w:t>
      </w:r>
    </w:p>
    <w:sectPr w:rsidR="00650678" w:rsidRPr="006B784E" w:rsidSect="00B4713E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FA" w:rsidRDefault="006978FA" w:rsidP="00E1058C">
      <w:pPr>
        <w:spacing w:after="0" w:line="240" w:lineRule="auto"/>
      </w:pPr>
      <w:r>
        <w:separator/>
      </w:r>
    </w:p>
  </w:endnote>
  <w:endnote w:type="continuationSeparator" w:id="0">
    <w:p w:rsidR="006978FA" w:rsidRDefault="006978FA" w:rsidP="00E1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67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7B3E" w:rsidRDefault="00E871C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CD3" w:rsidRPr="00897CD3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0E7B3E">
          <w:rPr>
            <w:b/>
          </w:rPr>
          <w:t xml:space="preserve"> | </w:t>
        </w:r>
        <w:r w:rsidR="000E7B3E">
          <w:rPr>
            <w:color w:val="7F7F7F" w:themeColor="background1" w:themeShade="7F"/>
            <w:spacing w:val="60"/>
          </w:rPr>
          <w:t>Page</w:t>
        </w:r>
      </w:p>
    </w:sdtContent>
  </w:sdt>
  <w:p w:rsidR="000E7B3E" w:rsidRDefault="000E7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FA" w:rsidRDefault="006978FA" w:rsidP="00E1058C">
      <w:pPr>
        <w:spacing w:after="0" w:line="240" w:lineRule="auto"/>
      </w:pPr>
      <w:r>
        <w:separator/>
      </w:r>
    </w:p>
  </w:footnote>
  <w:footnote w:type="continuationSeparator" w:id="0">
    <w:p w:rsidR="006978FA" w:rsidRDefault="006978FA" w:rsidP="00E1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4" w:rsidRDefault="00BC482E">
    <w:pPr>
      <w:pStyle w:val="Header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BD1EDC" wp14:editId="0E55C45A">
          <wp:simplePos x="0" y="0"/>
          <wp:positionH relativeFrom="page">
            <wp:posOffset>19050</wp:posOffset>
          </wp:positionH>
          <wp:positionV relativeFrom="paragraph">
            <wp:posOffset>-428625</wp:posOffset>
          </wp:positionV>
          <wp:extent cx="7560000" cy="97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 FO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82E" w:rsidRDefault="00BC482E">
    <w:pPr>
      <w:pStyle w:val="Header"/>
      <w:rPr>
        <w:noProof/>
        <w:lang w:val="en-US"/>
      </w:rPr>
    </w:pPr>
  </w:p>
  <w:p w:rsidR="00BC482E" w:rsidRDefault="00BC482E">
    <w:pPr>
      <w:pStyle w:val="Header"/>
    </w:pPr>
  </w:p>
  <w:p w:rsidR="00BC482E" w:rsidRDefault="00BC4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6B0"/>
    <w:multiLevelType w:val="hybridMultilevel"/>
    <w:tmpl w:val="F03AA1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FFA"/>
    <w:multiLevelType w:val="hybridMultilevel"/>
    <w:tmpl w:val="C96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6F20"/>
    <w:multiLevelType w:val="hybridMultilevel"/>
    <w:tmpl w:val="BC9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15C"/>
    <w:multiLevelType w:val="multilevel"/>
    <w:tmpl w:val="C96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C25F26"/>
    <w:multiLevelType w:val="hybridMultilevel"/>
    <w:tmpl w:val="EFE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B713A"/>
    <w:multiLevelType w:val="hybridMultilevel"/>
    <w:tmpl w:val="41B8A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3C8F"/>
    <w:multiLevelType w:val="hybridMultilevel"/>
    <w:tmpl w:val="0B6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5912"/>
    <w:multiLevelType w:val="hybridMultilevel"/>
    <w:tmpl w:val="9122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0090"/>
    <w:multiLevelType w:val="hybridMultilevel"/>
    <w:tmpl w:val="8A764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E9155E"/>
    <w:multiLevelType w:val="hybridMultilevel"/>
    <w:tmpl w:val="92821140"/>
    <w:lvl w:ilvl="0" w:tplc="05084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39287B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D045B"/>
    <w:multiLevelType w:val="hybridMultilevel"/>
    <w:tmpl w:val="7A9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6B68"/>
    <w:multiLevelType w:val="hybridMultilevel"/>
    <w:tmpl w:val="9DD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569B1"/>
    <w:multiLevelType w:val="hybridMultilevel"/>
    <w:tmpl w:val="0C5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82513"/>
    <w:multiLevelType w:val="hybridMultilevel"/>
    <w:tmpl w:val="08B8E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0631B"/>
    <w:multiLevelType w:val="hybridMultilevel"/>
    <w:tmpl w:val="5B84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2B5F"/>
    <w:multiLevelType w:val="hybridMultilevel"/>
    <w:tmpl w:val="2B0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80A5C"/>
    <w:multiLevelType w:val="hybridMultilevel"/>
    <w:tmpl w:val="F1FE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527A3"/>
    <w:multiLevelType w:val="hybridMultilevel"/>
    <w:tmpl w:val="8168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65FF"/>
    <w:multiLevelType w:val="hybridMultilevel"/>
    <w:tmpl w:val="4AC2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0E88"/>
    <w:multiLevelType w:val="hybridMultilevel"/>
    <w:tmpl w:val="6DE8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D2801"/>
    <w:multiLevelType w:val="hybridMultilevel"/>
    <w:tmpl w:val="DEF0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78B3"/>
    <w:multiLevelType w:val="hybridMultilevel"/>
    <w:tmpl w:val="5E8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F5040"/>
    <w:multiLevelType w:val="hybridMultilevel"/>
    <w:tmpl w:val="D2F48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7F80"/>
    <w:multiLevelType w:val="hybridMultilevel"/>
    <w:tmpl w:val="37A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56CE"/>
    <w:multiLevelType w:val="hybridMultilevel"/>
    <w:tmpl w:val="C0D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6641D"/>
    <w:multiLevelType w:val="hybridMultilevel"/>
    <w:tmpl w:val="D0F87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D7947"/>
    <w:multiLevelType w:val="hybridMultilevel"/>
    <w:tmpl w:val="F3884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73790"/>
    <w:multiLevelType w:val="hybridMultilevel"/>
    <w:tmpl w:val="743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2F02"/>
    <w:multiLevelType w:val="hybridMultilevel"/>
    <w:tmpl w:val="3E68A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E640B"/>
    <w:multiLevelType w:val="hybridMultilevel"/>
    <w:tmpl w:val="701E8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D2587"/>
    <w:multiLevelType w:val="hybridMultilevel"/>
    <w:tmpl w:val="C0F6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29"/>
  </w:num>
  <w:num w:numId="7">
    <w:abstractNumId w:val="18"/>
  </w:num>
  <w:num w:numId="8">
    <w:abstractNumId w:val="25"/>
  </w:num>
  <w:num w:numId="9">
    <w:abstractNumId w:val="19"/>
  </w:num>
  <w:num w:numId="10">
    <w:abstractNumId w:val="28"/>
  </w:num>
  <w:num w:numId="11">
    <w:abstractNumId w:val="17"/>
  </w:num>
  <w:num w:numId="12">
    <w:abstractNumId w:val="5"/>
  </w:num>
  <w:num w:numId="13">
    <w:abstractNumId w:val="26"/>
  </w:num>
  <w:num w:numId="14">
    <w:abstractNumId w:val="7"/>
  </w:num>
  <w:num w:numId="15">
    <w:abstractNumId w:val="1"/>
  </w:num>
  <w:num w:numId="16">
    <w:abstractNumId w:val="24"/>
  </w:num>
  <w:num w:numId="17">
    <w:abstractNumId w:val="2"/>
  </w:num>
  <w:num w:numId="18">
    <w:abstractNumId w:val="4"/>
  </w:num>
  <w:num w:numId="19">
    <w:abstractNumId w:val="10"/>
  </w:num>
  <w:num w:numId="20">
    <w:abstractNumId w:val="21"/>
  </w:num>
  <w:num w:numId="21">
    <w:abstractNumId w:val="11"/>
  </w:num>
  <w:num w:numId="22">
    <w:abstractNumId w:val="6"/>
  </w:num>
  <w:num w:numId="23">
    <w:abstractNumId w:val="8"/>
  </w:num>
  <w:num w:numId="24">
    <w:abstractNumId w:val="27"/>
  </w:num>
  <w:num w:numId="25">
    <w:abstractNumId w:val="23"/>
  </w:num>
  <w:num w:numId="26">
    <w:abstractNumId w:val="9"/>
  </w:num>
  <w:num w:numId="27">
    <w:abstractNumId w:val="15"/>
  </w:num>
  <w:num w:numId="28">
    <w:abstractNumId w:val="30"/>
  </w:num>
  <w:num w:numId="29">
    <w:abstractNumId w:val="2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B"/>
    <w:rsid w:val="00000661"/>
    <w:rsid w:val="0000095A"/>
    <w:rsid w:val="00001779"/>
    <w:rsid w:val="00005C7B"/>
    <w:rsid w:val="00007499"/>
    <w:rsid w:val="0001048F"/>
    <w:rsid w:val="00014E1A"/>
    <w:rsid w:val="000171BA"/>
    <w:rsid w:val="00020665"/>
    <w:rsid w:val="000274B3"/>
    <w:rsid w:val="00031A2E"/>
    <w:rsid w:val="00040F5F"/>
    <w:rsid w:val="0004392A"/>
    <w:rsid w:val="00044066"/>
    <w:rsid w:val="00052B6B"/>
    <w:rsid w:val="00052E43"/>
    <w:rsid w:val="00062974"/>
    <w:rsid w:val="0006492E"/>
    <w:rsid w:val="000649D3"/>
    <w:rsid w:val="00064A48"/>
    <w:rsid w:val="00065648"/>
    <w:rsid w:val="000671FB"/>
    <w:rsid w:val="000775A8"/>
    <w:rsid w:val="00081D83"/>
    <w:rsid w:val="000879F9"/>
    <w:rsid w:val="00091ED0"/>
    <w:rsid w:val="00092027"/>
    <w:rsid w:val="000935AA"/>
    <w:rsid w:val="000935BA"/>
    <w:rsid w:val="00093F52"/>
    <w:rsid w:val="000A0E2D"/>
    <w:rsid w:val="000A1C4C"/>
    <w:rsid w:val="000A3037"/>
    <w:rsid w:val="000B2EA8"/>
    <w:rsid w:val="000B36C4"/>
    <w:rsid w:val="000B57C1"/>
    <w:rsid w:val="000B5D26"/>
    <w:rsid w:val="000C399C"/>
    <w:rsid w:val="000D095A"/>
    <w:rsid w:val="000D3CAE"/>
    <w:rsid w:val="000D7720"/>
    <w:rsid w:val="000E0B2A"/>
    <w:rsid w:val="000E1B53"/>
    <w:rsid w:val="000E2979"/>
    <w:rsid w:val="000E2FA0"/>
    <w:rsid w:val="000E7B3E"/>
    <w:rsid w:val="000F07B8"/>
    <w:rsid w:val="000F1319"/>
    <w:rsid w:val="000F4801"/>
    <w:rsid w:val="000F4FC2"/>
    <w:rsid w:val="000F665C"/>
    <w:rsid w:val="00102789"/>
    <w:rsid w:val="001053FB"/>
    <w:rsid w:val="0010679A"/>
    <w:rsid w:val="00107BA4"/>
    <w:rsid w:val="001166AE"/>
    <w:rsid w:val="001211E0"/>
    <w:rsid w:val="00123E8C"/>
    <w:rsid w:val="0012707C"/>
    <w:rsid w:val="001307D6"/>
    <w:rsid w:val="00136F5B"/>
    <w:rsid w:val="0014041C"/>
    <w:rsid w:val="001405EE"/>
    <w:rsid w:val="00142487"/>
    <w:rsid w:val="0014262E"/>
    <w:rsid w:val="00145CE9"/>
    <w:rsid w:val="00152CDF"/>
    <w:rsid w:val="00152E01"/>
    <w:rsid w:val="001600D9"/>
    <w:rsid w:val="00161085"/>
    <w:rsid w:val="00162171"/>
    <w:rsid w:val="00162B32"/>
    <w:rsid w:val="00164599"/>
    <w:rsid w:val="00167049"/>
    <w:rsid w:val="0016711A"/>
    <w:rsid w:val="00172881"/>
    <w:rsid w:val="0017323E"/>
    <w:rsid w:val="001803A8"/>
    <w:rsid w:val="001807BF"/>
    <w:rsid w:val="00182BB2"/>
    <w:rsid w:val="00183391"/>
    <w:rsid w:val="001910B1"/>
    <w:rsid w:val="00192F9B"/>
    <w:rsid w:val="00195937"/>
    <w:rsid w:val="001965C7"/>
    <w:rsid w:val="001A0241"/>
    <w:rsid w:val="001A09A7"/>
    <w:rsid w:val="001A212B"/>
    <w:rsid w:val="001A4B8B"/>
    <w:rsid w:val="001B6307"/>
    <w:rsid w:val="001B6D46"/>
    <w:rsid w:val="001B7068"/>
    <w:rsid w:val="001C67D9"/>
    <w:rsid w:val="001D03FD"/>
    <w:rsid w:val="001D5422"/>
    <w:rsid w:val="001D7179"/>
    <w:rsid w:val="001E32DC"/>
    <w:rsid w:val="001E7792"/>
    <w:rsid w:val="001F010B"/>
    <w:rsid w:val="001F0889"/>
    <w:rsid w:val="001F57E5"/>
    <w:rsid w:val="001F7142"/>
    <w:rsid w:val="00202184"/>
    <w:rsid w:val="0020291E"/>
    <w:rsid w:val="0020412B"/>
    <w:rsid w:val="00206097"/>
    <w:rsid w:val="00212842"/>
    <w:rsid w:val="00212AA2"/>
    <w:rsid w:val="002218FD"/>
    <w:rsid w:val="002313E8"/>
    <w:rsid w:val="002351D6"/>
    <w:rsid w:val="00236B68"/>
    <w:rsid w:val="00241DB9"/>
    <w:rsid w:val="0024278C"/>
    <w:rsid w:val="00242A74"/>
    <w:rsid w:val="002575E1"/>
    <w:rsid w:val="00260B7F"/>
    <w:rsid w:val="0026128A"/>
    <w:rsid w:val="00270ABB"/>
    <w:rsid w:val="0027375E"/>
    <w:rsid w:val="002746F1"/>
    <w:rsid w:val="00274A1E"/>
    <w:rsid w:val="00274DAA"/>
    <w:rsid w:val="00275CC6"/>
    <w:rsid w:val="002815AB"/>
    <w:rsid w:val="002826BB"/>
    <w:rsid w:val="00283F40"/>
    <w:rsid w:val="002861AB"/>
    <w:rsid w:val="0028762E"/>
    <w:rsid w:val="00293719"/>
    <w:rsid w:val="0029464C"/>
    <w:rsid w:val="0029521A"/>
    <w:rsid w:val="00297396"/>
    <w:rsid w:val="002A1345"/>
    <w:rsid w:val="002A4961"/>
    <w:rsid w:val="002B3D52"/>
    <w:rsid w:val="002B6C4F"/>
    <w:rsid w:val="002B6E71"/>
    <w:rsid w:val="002C2036"/>
    <w:rsid w:val="002C27FE"/>
    <w:rsid w:val="002C4C1C"/>
    <w:rsid w:val="002D0D12"/>
    <w:rsid w:val="002D2CA0"/>
    <w:rsid w:val="002D2D70"/>
    <w:rsid w:val="002E099B"/>
    <w:rsid w:val="002E2682"/>
    <w:rsid w:val="002E2F02"/>
    <w:rsid w:val="002E5DCB"/>
    <w:rsid w:val="002F4176"/>
    <w:rsid w:val="002F5D32"/>
    <w:rsid w:val="00304B45"/>
    <w:rsid w:val="003069AE"/>
    <w:rsid w:val="00310706"/>
    <w:rsid w:val="003112F7"/>
    <w:rsid w:val="00312510"/>
    <w:rsid w:val="003149CD"/>
    <w:rsid w:val="00321B84"/>
    <w:rsid w:val="003222E9"/>
    <w:rsid w:val="00323312"/>
    <w:rsid w:val="00324775"/>
    <w:rsid w:val="003250D7"/>
    <w:rsid w:val="00327425"/>
    <w:rsid w:val="003309C1"/>
    <w:rsid w:val="00330AA9"/>
    <w:rsid w:val="0033228B"/>
    <w:rsid w:val="00332667"/>
    <w:rsid w:val="00332F34"/>
    <w:rsid w:val="00334F31"/>
    <w:rsid w:val="0033620A"/>
    <w:rsid w:val="00340E50"/>
    <w:rsid w:val="00341FD5"/>
    <w:rsid w:val="00343002"/>
    <w:rsid w:val="00347922"/>
    <w:rsid w:val="0035001B"/>
    <w:rsid w:val="003501BC"/>
    <w:rsid w:val="003507A5"/>
    <w:rsid w:val="00354228"/>
    <w:rsid w:val="00354CBB"/>
    <w:rsid w:val="003569C7"/>
    <w:rsid w:val="00362BF1"/>
    <w:rsid w:val="00367A61"/>
    <w:rsid w:val="00372FCA"/>
    <w:rsid w:val="0037313B"/>
    <w:rsid w:val="00373562"/>
    <w:rsid w:val="003825B0"/>
    <w:rsid w:val="003828D5"/>
    <w:rsid w:val="00383D52"/>
    <w:rsid w:val="00392008"/>
    <w:rsid w:val="003920D3"/>
    <w:rsid w:val="00392702"/>
    <w:rsid w:val="00393941"/>
    <w:rsid w:val="0039660D"/>
    <w:rsid w:val="003A509A"/>
    <w:rsid w:val="003A51DA"/>
    <w:rsid w:val="003B0733"/>
    <w:rsid w:val="003B3038"/>
    <w:rsid w:val="003B34EC"/>
    <w:rsid w:val="003B4115"/>
    <w:rsid w:val="003C0868"/>
    <w:rsid w:val="003C24DA"/>
    <w:rsid w:val="003C29D6"/>
    <w:rsid w:val="003C5B86"/>
    <w:rsid w:val="003D0E70"/>
    <w:rsid w:val="003D2659"/>
    <w:rsid w:val="003D5BD3"/>
    <w:rsid w:val="003D6F2B"/>
    <w:rsid w:val="003D6FF3"/>
    <w:rsid w:val="003D7B68"/>
    <w:rsid w:val="003E0F4A"/>
    <w:rsid w:val="003E3090"/>
    <w:rsid w:val="003E30C4"/>
    <w:rsid w:val="003E347C"/>
    <w:rsid w:val="003F2DBA"/>
    <w:rsid w:val="003F2F14"/>
    <w:rsid w:val="003F2FE8"/>
    <w:rsid w:val="003F5047"/>
    <w:rsid w:val="003F70D8"/>
    <w:rsid w:val="004056CF"/>
    <w:rsid w:val="0040773C"/>
    <w:rsid w:val="0041210C"/>
    <w:rsid w:val="004170C1"/>
    <w:rsid w:val="004315AD"/>
    <w:rsid w:val="004364AA"/>
    <w:rsid w:val="0043731A"/>
    <w:rsid w:val="004407F3"/>
    <w:rsid w:val="00442AF4"/>
    <w:rsid w:val="00444D1E"/>
    <w:rsid w:val="00446105"/>
    <w:rsid w:val="004500E3"/>
    <w:rsid w:val="00456D26"/>
    <w:rsid w:val="00461A3A"/>
    <w:rsid w:val="00463ACD"/>
    <w:rsid w:val="00471545"/>
    <w:rsid w:val="0047439B"/>
    <w:rsid w:val="00475BB7"/>
    <w:rsid w:val="004843C1"/>
    <w:rsid w:val="00487222"/>
    <w:rsid w:val="00490FF6"/>
    <w:rsid w:val="004947CA"/>
    <w:rsid w:val="00494C53"/>
    <w:rsid w:val="00494E68"/>
    <w:rsid w:val="0049544E"/>
    <w:rsid w:val="00497D9D"/>
    <w:rsid w:val="00497ED3"/>
    <w:rsid w:val="00497FD9"/>
    <w:rsid w:val="004A07D4"/>
    <w:rsid w:val="004A7876"/>
    <w:rsid w:val="004B56D7"/>
    <w:rsid w:val="004C1CDE"/>
    <w:rsid w:val="004C67B0"/>
    <w:rsid w:val="004C6A64"/>
    <w:rsid w:val="004D4222"/>
    <w:rsid w:val="004E1234"/>
    <w:rsid w:val="004E1C7B"/>
    <w:rsid w:val="004E4636"/>
    <w:rsid w:val="004E6786"/>
    <w:rsid w:val="004E7B6E"/>
    <w:rsid w:val="004F1DDA"/>
    <w:rsid w:val="00500E2E"/>
    <w:rsid w:val="005017A3"/>
    <w:rsid w:val="00502293"/>
    <w:rsid w:val="00511B32"/>
    <w:rsid w:val="00513934"/>
    <w:rsid w:val="00521A80"/>
    <w:rsid w:val="00527F15"/>
    <w:rsid w:val="00530873"/>
    <w:rsid w:val="0053386C"/>
    <w:rsid w:val="00534EB5"/>
    <w:rsid w:val="00536057"/>
    <w:rsid w:val="00536C6B"/>
    <w:rsid w:val="00546FA5"/>
    <w:rsid w:val="00547270"/>
    <w:rsid w:val="0055009A"/>
    <w:rsid w:val="005505EE"/>
    <w:rsid w:val="00552535"/>
    <w:rsid w:val="00552545"/>
    <w:rsid w:val="00557EEF"/>
    <w:rsid w:val="00557EF0"/>
    <w:rsid w:val="005625D1"/>
    <w:rsid w:val="00567BAF"/>
    <w:rsid w:val="0057040B"/>
    <w:rsid w:val="00571E5D"/>
    <w:rsid w:val="00572646"/>
    <w:rsid w:val="005814F5"/>
    <w:rsid w:val="0058373B"/>
    <w:rsid w:val="00586116"/>
    <w:rsid w:val="00587C3D"/>
    <w:rsid w:val="00587D7F"/>
    <w:rsid w:val="00593407"/>
    <w:rsid w:val="00594F28"/>
    <w:rsid w:val="005A4F9C"/>
    <w:rsid w:val="005A76DB"/>
    <w:rsid w:val="005B05D8"/>
    <w:rsid w:val="005B0878"/>
    <w:rsid w:val="005B2461"/>
    <w:rsid w:val="005B4B2D"/>
    <w:rsid w:val="005B6281"/>
    <w:rsid w:val="005B68C8"/>
    <w:rsid w:val="005B774C"/>
    <w:rsid w:val="005C060B"/>
    <w:rsid w:val="005C5CEA"/>
    <w:rsid w:val="005D3716"/>
    <w:rsid w:val="005D3EBA"/>
    <w:rsid w:val="005D61F4"/>
    <w:rsid w:val="005D77FE"/>
    <w:rsid w:val="005E05CE"/>
    <w:rsid w:val="005E08E8"/>
    <w:rsid w:val="005E1BC1"/>
    <w:rsid w:val="005E5FB9"/>
    <w:rsid w:val="005F07AA"/>
    <w:rsid w:val="005F70DE"/>
    <w:rsid w:val="00601A03"/>
    <w:rsid w:val="00601B0C"/>
    <w:rsid w:val="006104B0"/>
    <w:rsid w:val="00611319"/>
    <w:rsid w:val="006170DB"/>
    <w:rsid w:val="00621B8D"/>
    <w:rsid w:val="00623F55"/>
    <w:rsid w:val="00624E13"/>
    <w:rsid w:val="00627111"/>
    <w:rsid w:val="006307C9"/>
    <w:rsid w:val="00633F73"/>
    <w:rsid w:val="00635853"/>
    <w:rsid w:val="00641E03"/>
    <w:rsid w:val="00643555"/>
    <w:rsid w:val="00646846"/>
    <w:rsid w:val="006468CA"/>
    <w:rsid w:val="00650678"/>
    <w:rsid w:val="00650D86"/>
    <w:rsid w:val="00652E76"/>
    <w:rsid w:val="006567CD"/>
    <w:rsid w:val="00661250"/>
    <w:rsid w:val="00662D6D"/>
    <w:rsid w:val="00665B1B"/>
    <w:rsid w:val="00666F00"/>
    <w:rsid w:val="006673CE"/>
    <w:rsid w:val="006722B3"/>
    <w:rsid w:val="0067395A"/>
    <w:rsid w:val="006743A1"/>
    <w:rsid w:val="006757C6"/>
    <w:rsid w:val="00675F15"/>
    <w:rsid w:val="00681C0A"/>
    <w:rsid w:val="00685286"/>
    <w:rsid w:val="006864D0"/>
    <w:rsid w:val="00692792"/>
    <w:rsid w:val="006978FA"/>
    <w:rsid w:val="00697921"/>
    <w:rsid w:val="006A199C"/>
    <w:rsid w:val="006A451D"/>
    <w:rsid w:val="006A68FF"/>
    <w:rsid w:val="006B22C4"/>
    <w:rsid w:val="006B35E4"/>
    <w:rsid w:val="006B784E"/>
    <w:rsid w:val="006D603A"/>
    <w:rsid w:val="006E0270"/>
    <w:rsid w:val="006E154A"/>
    <w:rsid w:val="006E5FE4"/>
    <w:rsid w:val="006F037F"/>
    <w:rsid w:val="006F0A6A"/>
    <w:rsid w:val="006F15AD"/>
    <w:rsid w:val="006F2743"/>
    <w:rsid w:val="006F3F77"/>
    <w:rsid w:val="006F6018"/>
    <w:rsid w:val="007015D7"/>
    <w:rsid w:val="007040DE"/>
    <w:rsid w:val="00706715"/>
    <w:rsid w:val="007123D3"/>
    <w:rsid w:val="007125BF"/>
    <w:rsid w:val="00714563"/>
    <w:rsid w:val="00715B7A"/>
    <w:rsid w:val="00721B7A"/>
    <w:rsid w:val="0072425E"/>
    <w:rsid w:val="00725D5F"/>
    <w:rsid w:val="007277BA"/>
    <w:rsid w:val="00730016"/>
    <w:rsid w:val="00731E69"/>
    <w:rsid w:val="007358D7"/>
    <w:rsid w:val="007376C8"/>
    <w:rsid w:val="00740011"/>
    <w:rsid w:val="00741997"/>
    <w:rsid w:val="007441F4"/>
    <w:rsid w:val="007464B3"/>
    <w:rsid w:val="0074699C"/>
    <w:rsid w:val="007537B2"/>
    <w:rsid w:val="00757025"/>
    <w:rsid w:val="00761914"/>
    <w:rsid w:val="0076457D"/>
    <w:rsid w:val="00771A4E"/>
    <w:rsid w:val="00772D84"/>
    <w:rsid w:val="00775295"/>
    <w:rsid w:val="0077688F"/>
    <w:rsid w:val="00776901"/>
    <w:rsid w:val="007771F4"/>
    <w:rsid w:val="00783555"/>
    <w:rsid w:val="00791FAB"/>
    <w:rsid w:val="007928A6"/>
    <w:rsid w:val="00792AAC"/>
    <w:rsid w:val="0079561C"/>
    <w:rsid w:val="007978E2"/>
    <w:rsid w:val="007A3554"/>
    <w:rsid w:val="007B6FDB"/>
    <w:rsid w:val="007C0CCF"/>
    <w:rsid w:val="007C6BFE"/>
    <w:rsid w:val="007D09BE"/>
    <w:rsid w:val="007D0B8B"/>
    <w:rsid w:val="007E1640"/>
    <w:rsid w:val="007E2C7A"/>
    <w:rsid w:val="007E6F71"/>
    <w:rsid w:val="007F2494"/>
    <w:rsid w:val="007F3192"/>
    <w:rsid w:val="007F7C8C"/>
    <w:rsid w:val="00800BE4"/>
    <w:rsid w:val="00804E42"/>
    <w:rsid w:val="00815CDF"/>
    <w:rsid w:val="00817903"/>
    <w:rsid w:val="0082423F"/>
    <w:rsid w:val="0082552C"/>
    <w:rsid w:val="00831F8E"/>
    <w:rsid w:val="0083399F"/>
    <w:rsid w:val="00847AE3"/>
    <w:rsid w:val="0085590B"/>
    <w:rsid w:val="00856386"/>
    <w:rsid w:val="00856506"/>
    <w:rsid w:val="0085677C"/>
    <w:rsid w:val="00856F8B"/>
    <w:rsid w:val="00860E58"/>
    <w:rsid w:val="00864AF6"/>
    <w:rsid w:val="0086500A"/>
    <w:rsid w:val="00870476"/>
    <w:rsid w:val="008723C0"/>
    <w:rsid w:val="00875CA1"/>
    <w:rsid w:val="0087659F"/>
    <w:rsid w:val="00876D42"/>
    <w:rsid w:val="008839CF"/>
    <w:rsid w:val="00884A4F"/>
    <w:rsid w:val="00885E64"/>
    <w:rsid w:val="008865A8"/>
    <w:rsid w:val="0088693D"/>
    <w:rsid w:val="00893DDA"/>
    <w:rsid w:val="00894BDE"/>
    <w:rsid w:val="00897CD3"/>
    <w:rsid w:val="008A2783"/>
    <w:rsid w:val="008A2A10"/>
    <w:rsid w:val="008A608B"/>
    <w:rsid w:val="008A797C"/>
    <w:rsid w:val="008B2D2E"/>
    <w:rsid w:val="008B38A0"/>
    <w:rsid w:val="008B3C4F"/>
    <w:rsid w:val="008B5DBA"/>
    <w:rsid w:val="008C1FD0"/>
    <w:rsid w:val="008C3C07"/>
    <w:rsid w:val="008C41FF"/>
    <w:rsid w:val="008C434F"/>
    <w:rsid w:val="008C59B6"/>
    <w:rsid w:val="008D225C"/>
    <w:rsid w:val="008D2325"/>
    <w:rsid w:val="008D238B"/>
    <w:rsid w:val="008D293B"/>
    <w:rsid w:val="008D4E33"/>
    <w:rsid w:val="008D536C"/>
    <w:rsid w:val="008E296B"/>
    <w:rsid w:val="008E4DB7"/>
    <w:rsid w:val="008E70BE"/>
    <w:rsid w:val="008E7175"/>
    <w:rsid w:val="008E7D3C"/>
    <w:rsid w:val="008F082C"/>
    <w:rsid w:val="008F42B7"/>
    <w:rsid w:val="00901A03"/>
    <w:rsid w:val="00902809"/>
    <w:rsid w:val="00907B43"/>
    <w:rsid w:val="00910DD8"/>
    <w:rsid w:val="00916708"/>
    <w:rsid w:val="00923B76"/>
    <w:rsid w:val="0093129B"/>
    <w:rsid w:val="0093151D"/>
    <w:rsid w:val="00931D90"/>
    <w:rsid w:val="0093643A"/>
    <w:rsid w:val="00944312"/>
    <w:rsid w:val="00944832"/>
    <w:rsid w:val="00947385"/>
    <w:rsid w:val="009505A2"/>
    <w:rsid w:val="00950D03"/>
    <w:rsid w:val="0095525F"/>
    <w:rsid w:val="00962633"/>
    <w:rsid w:val="00962CFF"/>
    <w:rsid w:val="00963391"/>
    <w:rsid w:val="00966B5F"/>
    <w:rsid w:val="009732AD"/>
    <w:rsid w:val="00974F9B"/>
    <w:rsid w:val="00975544"/>
    <w:rsid w:val="00975FF7"/>
    <w:rsid w:val="009858D0"/>
    <w:rsid w:val="0099103A"/>
    <w:rsid w:val="009910D2"/>
    <w:rsid w:val="00991FFC"/>
    <w:rsid w:val="0099279C"/>
    <w:rsid w:val="00993049"/>
    <w:rsid w:val="009935F7"/>
    <w:rsid w:val="009A1133"/>
    <w:rsid w:val="009B2F63"/>
    <w:rsid w:val="009B3B34"/>
    <w:rsid w:val="009C0654"/>
    <w:rsid w:val="009C1002"/>
    <w:rsid w:val="009D2BC2"/>
    <w:rsid w:val="009D5F7A"/>
    <w:rsid w:val="009D6653"/>
    <w:rsid w:val="009E57DE"/>
    <w:rsid w:val="009F251F"/>
    <w:rsid w:val="009F3493"/>
    <w:rsid w:val="009F4A04"/>
    <w:rsid w:val="009F7F60"/>
    <w:rsid w:val="00A00A42"/>
    <w:rsid w:val="00A02295"/>
    <w:rsid w:val="00A03889"/>
    <w:rsid w:val="00A03F77"/>
    <w:rsid w:val="00A051F0"/>
    <w:rsid w:val="00A05721"/>
    <w:rsid w:val="00A0586F"/>
    <w:rsid w:val="00A06788"/>
    <w:rsid w:val="00A06FF8"/>
    <w:rsid w:val="00A07C8D"/>
    <w:rsid w:val="00A13184"/>
    <w:rsid w:val="00A179E6"/>
    <w:rsid w:val="00A17BAD"/>
    <w:rsid w:val="00A217B0"/>
    <w:rsid w:val="00A21CA0"/>
    <w:rsid w:val="00A2258F"/>
    <w:rsid w:val="00A25946"/>
    <w:rsid w:val="00A344E8"/>
    <w:rsid w:val="00A378FE"/>
    <w:rsid w:val="00A415A8"/>
    <w:rsid w:val="00A41B43"/>
    <w:rsid w:val="00A41C0F"/>
    <w:rsid w:val="00A4543A"/>
    <w:rsid w:val="00A46B71"/>
    <w:rsid w:val="00A60DC6"/>
    <w:rsid w:val="00A6148E"/>
    <w:rsid w:val="00A64C7D"/>
    <w:rsid w:val="00A66AE2"/>
    <w:rsid w:val="00A75B53"/>
    <w:rsid w:val="00A77640"/>
    <w:rsid w:val="00A81A54"/>
    <w:rsid w:val="00A81D5B"/>
    <w:rsid w:val="00A92408"/>
    <w:rsid w:val="00AA0FCA"/>
    <w:rsid w:val="00AA1AC3"/>
    <w:rsid w:val="00AA366E"/>
    <w:rsid w:val="00AA3E95"/>
    <w:rsid w:val="00AA5281"/>
    <w:rsid w:val="00AA5509"/>
    <w:rsid w:val="00AA7C36"/>
    <w:rsid w:val="00AB319C"/>
    <w:rsid w:val="00AB4B63"/>
    <w:rsid w:val="00AB58FC"/>
    <w:rsid w:val="00AC1F46"/>
    <w:rsid w:val="00AC247A"/>
    <w:rsid w:val="00AC3329"/>
    <w:rsid w:val="00AC6AF4"/>
    <w:rsid w:val="00AC6B34"/>
    <w:rsid w:val="00AC71DF"/>
    <w:rsid w:val="00AD032A"/>
    <w:rsid w:val="00AD0D25"/>
    <w:rsid w:val="00AD2615"/>
    <w:rsid w:val="00AD4B34"/>
    <w:rsid w:val="00AD4E78"/>
    <w:rsid w:val="00AE78C5"/>
    <w:rsid w:val="00AF0A06"/>
    <w:rsid w:val="00AF6DD2"/>
    <w:rsid w:val="00B04746"/>
    <w:rsid w:val="00B0660E"/>
    <w:rsid w:val="00B07D75"/>
    <w:rsid w:val="00B10D1C"/>
    <w:rsid w:val="00B15358"/>
    <w:rsid w:val="00B21203"/>
    <w:rsid w:val="00B21E83"/>
    <w:rsid w:val="00B2513A"/>
    <w:rsid w:val="00B255AE"/>
    <w:rsid w:val="00B27B3A"/>
    <w:rsid w:val="00B309E0"/>
    <w:rsid w:val="00B33CE7"/>
    <w:rsid w:val="00B3408F"/>
    <w:rsid w:val="00B4016D"/>
    <w:rsid w:val="00B408EC"/>
    <w:rsid w:val="00B42917"/>
    <w:rsid w:val="00B467C7"/>
    <w:rsid w:val="00B469A8"/>
    <w:rsid w:val="00B4713E"/>
    <w:rsid w:val="00B472D4"/>
    <w:rsid w:val="00B47726"/>
    <w:rsid w:val="00B47CFF"/>
    <w:rsid w:val="00B52B07"/>
    <w:rsid w:val="00B55D8C"/>
    <w:rsid w:val="00B655FA"/>
    <w:rsid w:val="00B6582C"/>
    <w:rsid w:val="00B71CEA"/>
    <w:rsid w:val="00B727F0"/>
    <w:rsid w:val="00B73DFB"/>
    <w:rsid w:val="00B7439D"/>
    <w:rsid w:val="00B763E2"/>
    <w:rsid w:val="00B7754E"/>
    <w:rsid w:val="00B82A19"/>
    <w:rsid w:val="00B85FB3"/>
    <w:rsid w:val="00B87B33"/>
    <w:rsid w:val="00B91F6E"/>
    <w:rsid w:val="00B957C4"/>
    <w:rsid w:val="00B95FD6"/>
    <w:rsid w:val="00B968D5"/>
    <w:rsid w:val="00BA44BB"/>
    <w:rsid w:val="00BA58C2"/>
    <w:rsid w:val="00BA731B"/>
    <w:rsid w:val="00BA76F7"/>
    <w:rsid w:val="00BA79D0"/>
    <w:rsid w:val="00BB141A"/>
    <w:rsid w:val="00BB1BC6"/>
    <w:rsid w:val="00BB2043"/>
    <w:rsid w:val="00BB38F7"/>
    <w:rsid w:val="00BC4802"/>
    <w:rsid w:val="00BC482E"/>
    <w:rsid w:val="00BD1E81"/>
    <w:rsid w:val="00BD45A3"/>
    <w:rsid w:val="00BE0646"/>
    <w:rsid w:val="00BE1FD6"/>
    <w:rsid w:val="00BE6540"/>
    <w:rsid w:val="00BE6D2B"/>
    <w:rsid w:val="00BE7102"/>
    <w:rsid w:val="00BF079F"/>
    <w:rsid w:val="00BF2C2C"/>
    <w:rsid w:val="00BF484D"/>
    <w:rsid w:val="00BF5815"/>
    <w:rsid w:val="00BF7359"/>
    <w:rsid w:val="00C006B2"/>
    <w:rsid w:val="00C041A0"/>
    <w:rsid w:val="00C05B15"/>
    <w:rsid w:val="00C10376"/>
    <w:rsid w:val="00C139ED"/>
    <w:rsid w:val="00C14203"/>
    <w:rsid w:val="00C14478"/>
    <w:rsid w:val="00C1509F"/>
    <w:rsid w:val="00C2193A"/>
    <w:rsid w:val="00C2339F"/>
    <w:rsid w:val="00C2348C"/>
    <w:rsid w:val="00C26B31"/>
    <w:rsid w:val="00C26DE5"/>
    <w:rsid w:val="00C314AB"/>
    <w:rsid w:val="00C320A3"/>
    <w:rsid w:val="00C3431B"/>
    <w:rsid w:val="00C35830"/>
    <w:rsid w:val="00C35F39"/>
    <w:rsid w:val="00C36CEE"/>
    <w:rsid w:val="00C36D3B"/>
    <w:rsid w:val="00C37372"/>
    <w:rsid w:val="00C435B0"/>
    <w:rsid w:val="00C446A7"/>
    <w:rsid w:val="00C468ED"/>
    <w:rsid w:val="00C52B6B"/>
    <w:rsid w:val="00C562A3"/>
    <w:rsid w:val="00C74A75"/>
    <w:rsid w:val="00C76453"/>
    <w:rsid w:val="00C77884"/>
    <w:rsid w:val="00C81863"/>
    <w:rsid w:val="00C825DE"/>
    <w:rsid w:val="00C83140"/>
    <w:rsid w:val="00C83D62"/>
    <w:rsid w:val="00C87588"/>
    <w:rsid w:val="00C91461"/>
    <w:rsid w:val="00C93155"/>
    <w:rsid w:val="00C94508"/>
    <w:rsid w:val="00C94B40"/>
    <w:rsid w:val="00C95EB0"/>
    <w:rsid w:val="00C96C30"/>
    <w:rsid w:val="00CA3292"/>
    <w:rsid w:val="00CA3D93"/>
    <w:rsid w:val="00CA7006"/>
    <w:rsid w:val="00CA7AD5"/>
    <w:rsid w:val="00CB412F"/>
    <w:rsid w:val="00CC03AE"/>
    <w:rsid w:val="00CC1052"/>
    <w:rsid w:val="00CC4E0A"/>
    <w:rsid w:val="00CC7CEF"/>
    <w:rsid w:val="00CD06BD"/>
    <w:rsid w:val="00CD41DC"/>
    <w:rsid w:val="00CD5B35"/>
    <w:rsid w:val="00CD7370"/>
    <w:rsid w:val="00CE021D"/>
    <w:rsid w:val="00CE4922"/>
    <w:rsid w:val="00CE714F"/>
    <w:rsid w:val="00CF507C"/>
    <w:rsid w:val="00CF52FC"/>
    <w:rsid w:val="00CF66E3"/>
    <w:rsid w:val="00D025B8"/>
    <w:rsid w:val="00D03ACB"/>
    <w:rsid w:val="00D04B22"/>
    <w:rsid w:val="00D050CB"/>
    <w:rsid w:val="00D05CBB"/>
    <w:rsid w:val="00D062E4"/>
    <w:rsid w:val="00D137EE"/>
    <w:rsid w:val="00D1655B"/>
    <w:rsid w:val="00D20009"/>
    <w:rsid w:val="00D23B06"/>
    <w:rsid w:val="00D23C8E"/>
    <w:rsid w:val="00D32257"/>
    <w:rsid w:val="00D3246A"/>
    <w:rsid w:val="00D33E07"/>
    <w:rsid w:val="00D34D96"/>
    <w:rsid w:val="00D3736D"/>
    <w:rsid w:val="00D42216"/>
    <w:rsid w:val="00D47B28"/>
    <w:rsid w:val="00D50605"/>
    <w:rsid w:val="00D53DF1"/>
    <w:rsid w:val="00D53FA4"/>
    <w:rsid w:val="00D55E91"/>
    <w:rsid w:val="00D604D4"/>
    <w:rsid w:val="00D6174A"/>
    <w:rsid w:val="00D61BE9"/>
    <w:rsid w:val="00D637EE"/>
    <w:rsid w:val="00D66677"/>
    <w:rsid w:val="00D713F7"/>
    <w:rsid w:val="00D7642F"/>
    <w:rsid w:val="00D76DF2"/>
    <w:rsid w:val="00D8236C"/>
    <w:rsid w:val="00D83177"/>
    <w:rsid w:val="00D85B22"/>
    <w:rsid w:val="00D87B35"/>
    <w:rsid w:val="00D93E8C"/>
    <w:rsid w:val="00D95C57"/>
    <w:rsid w:val="00D96165"/>
    <w:rsid w:val="00D9673D"/>
    <w:rsid w:val="00DA4AFF"/>
    <w:rsid w:val="00DA6DBF"/>
    <w:rsid w:val="00DB3479"/>
    <w:rsid w:val="00DB4C6D"/>
    <w:rsid w:val="00DB5719"/>
    <w:rsid w:val="00DC090C"/>
    <w:rsid w:val="00DC3C4A"/>
    <w:rsid w:val="00DC3CDE"/>
    <w:rsid w:val="00DD5547"/>
    <w:rsid w:val="00DD582E"/>
    <w:rsid w:val="00DE23E0"/>
    <w:rsid w:val="00DE72C6"/>
    <w:rsid w:val="00DF0015"/>
    <w:rsid w:val="00DF039F"/>
    <w:rsid w:val="00E012DA"/>
    <w:rsid w:val="00E017F3"/>
    <w:rsid w:val="00E02DEB"/>
    <w:rsid w:val="00E06907"/>
    <w:rsid w:val="00E1058C"/>
    <w:rsid w:val="00E11924"/>
    <w:rsid w:val="00E11E3D"/>
    <w:rsid w:val="00E125CA"/>
    <w:rsid w:val="00E177EE"/>
    <w:rsid w:val="00E220E0"/>
    <w:rsid w:val="00E233C1"/>
    <w:rsid w:val="00E30518"/>
    <w:rsid w:val="00E30D63"/>
    <w:rsid w:val="00E35EE3"/>
    <w:rsid w:val="00E368A4"/>
    <w:rsid w:val="00E37F03"/>
    <w:rsid w:val="00E45CD2"/>
    <w:rsid w:val="00E47850"/>
    <w:rsid w:val="00E56241"/>
    <w:rsid w:val="00E56960"/>
    <w:rsid w:val="00E57AB5"/>
    <w:rsid w:val="00E57B91"/>
    <w:rsid w:val="00E67341"/>
    <w:rsid w:val="00E67A0E"/>
    <w:rsid w:val="00E67E58"/>
    <w:rsid w:val="00E74377"/>
    <w:rsid w:val="00E7753F"/>
    <w:rsid w:val="00E81222"/>
    <w:rsid w:val="00E83262"/>
    <w:rsid w:val="00E83536"/>
    <w:rsid w:val="00E8444A"/>
    <w:rsid w:val="00E871C3"/>
    <w:rsid w:val="00E931CE"/>
    <w:rsid w:val="00E936EF"/>
    <w:rsid w:val="00E94DDC"/>
    <w:rsid w:val="00E96ED3"/>
    <w:rsid w:val="00E97C65"/>
    <w:rsid w:val="00EA6CE6"/>
    <w:rsid w:val="00EA7FF8"/>
    <w:rsid w:val="00EB0176"/>
    <w:rsid w:val="00EB487C"/>
    <w:rsid w:val="00EC1AE3"/>
    <w:rsid w:val="00EC3A82"/>
    <w:rsid w:val="00EC7B6C"/>
    <w:rsid w:val="00ED327D"/>
    <w:rsid w:val="00ED456A"/>
    <w:rsid w:val="00EE2512"/>
    <w:rsid w:val="00EE3ED4"/>
    <w:rsid w:val="00EE48DA"/>
    <w:rsid w:val="00EE51C7"/>
    <w:rsid w:val="00EE5C1B"/>
    <w:rsid w:val="00F0246F"/>
    <w:rsid w:val="00F026F6"/>
    <w:rsid w:val="00F032A2"/>
    <w:rsid w:val="00F034D5"/>
    <w:rsid w:val="00F039FF"/>
    <w:rsid w:val="00F10712"/>
    <w:rsid w:val="00F116B4"/>
    <w:rsid w:val="00F120B7"/>
    <w:rsid w:val="00F1482C"/>
    <w:rsid w:val="00F15E9E"/>
    <w:rsid w:val="00F27FE1"/>
    <w:rsid w:val="00F31EDD"/>
    <w:rsid w:val="00F335F4"/>
    <w:rsid w:val="00F36C4D"/>
    <w:rsid w:val="00F36D69"/>
    <w:rsid w:val="00F37B15"/>
    <w:rsid w:val="00F41D62"/>
    <w:rsid w:val="00F4391E"/>
    <w:rsid w:val="00F457E7"/>
    <w:rsid w:val="00F50B20"/>
    <w:rsid w:val="00F5134C"/>
    <w:rsid w:val="00F54141"/>
    <w:rsid w:val="00F54877"/>
    <w:rsid w:val="00F567E4"/>
    <w:rsid w:val="00F6005C"/>
    <w:rsid w:val="00F60A16"/>
    <w:rsid w:val="00F61D4C"/>
    <w:rsid w:val="00F64D7B"/>
    <w:rsid w:val="00F711CB"/>
    <w:rsid w:val="00F71F2C"/>
    <w:rsid w:val="00F76DB0"/>
    <w:rsid w:val="00F77973"/>
    <w:rsid w:val="00F8343F"/>
    <w:rsid w:val="00F91AD7"/>
    <w:rsid w:val="00F924CE"/>
    <w:rsid w:val="00FA0D90"/>
    <w:rsid w:val="00FA272A"/>
    <w:rsid w:val="00FA30B8"/>
    <w:rsid w:val="00FA398D"/>
    <w:rsid w:val="00FB011B"/>
    <w:rsid w:val="00FB1AB0"/>
    <w:rsid w:val="00FC2721"/>
    <w:rsid w:val="00FC2A32"/>
    <w:rsid w:val="00FC3646"/>
    <w:rsid w:val="00FD2B05"/>
    <w:rsid w:val="00FD4B9A"/>
    <w:rsid w:val="00FD5C76"/>
    <w:rsid w:val="00FD7196"/>
    <w:rsid w:val="00FE1AB2"/>
    <w:rsid w:val="00FE33FD"/>
    <w:rsid w:val="00FE5579"/>
    <w:rsid w:val="00FF1B4C"/>
    <w:rsid w:val="00FF4182"/>
    <w:rsid w:val="00FF4808"/>
    <w:rsid w:val="00FF52D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864D5-B3D9-416E-9E19-097480D5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07"/>
  </w:style>
  <w:style w:type="paragraph" w:styleId="Heading1">
    <w:name w:val="heading 1"/>
    <w:basedOn w:val="Normal"/>
    <w:next w:val="Normal"/>
    <w:link w:val="Heading1Char"/>
    <w:uiPriority w:val="9"/>
    <w:qFormat/>
    <w:rsid w:val="00704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7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2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8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3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egtitle1">
    <w:name w:val="legtitle1"/>
    <w:basedOn w:val="DefaultParagraphFont"/>
    <w:rsid w:val="001D03FD"/>
    <w:rPr>
      <w:rFonts w:ascii="Arial" w:hAnsi="Arial" w:cs="Arial" w:hint="default"/>
      <w:b/>
      <w:bCs/>
      <w:color w:val="10418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1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8C"/>
  </w:style>
  <w:style w:type="paragraph" w:styleId="Footer">
    <w:name w:val="footer"/>
    <w:basedOn w:val="Normal"/>
    <w:link w:val="FooterChar"/>
    <w:uiPriority w:val="99"/>
    <w:unhideWhenUsed/>
    <w:rsid w:val="00E1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8C"/>
  </w:style>
  <w:style w:type="paragraph" w:customStyle="1" w:styleId="BRGH1">
    <w:name w:val="BRG H 1"/>
    <w:basedOn w:val="Heading1"/>
    <w:link w:val="BRGH1Char"/>
    <w:qFormat/>
    <w:rsid w:val="007040DE"/>
    <w:pPr>
      <w:spacing w:before="0" w:line="240" w:lineRule="auto"/>
      <w:ind w:left="1440" w:right="-454" w:hanging="1440"/>
    </w:pPr>
    <w:rPr>
      <w:rFonts w:ascii="Century Gothic" w:eastAsia="PMingLiU" w:hAnsi="Century Gothic" w:cs="Arial"/>
      <w:color w:val="354F90"/>
      <w:sz w:val="32"/>
      <w:szCs w:val="32"/>
    </w:rPr>
  </w:style>
  <w:style w:type="paragraph" w:customStyle="1" w:styleId="BRGH2">
    <w:name w:val="BRG H 2"/>
    <w:basedOn w:val="Normal"/>
    <w:link w:val="BRGH2Char"/>
    <w:qFormat/>
    <w:rsid w:val="007040DE"/>
    <w:pPr>
      <w:spacing w:after="0" w:line="240" w:lineRule="auto"/>
      <w:jc w:val="center"/>
    </w:pPr>
    <w:rPr>
      <w:rFonts w:ascii="Century Gothic" w:eastAsia="Calibri" w:hAnsi="Century Gothic" w:cs="Cordia New"/>
      <w:b/>
      <w:color w:val="354F90"/>
      <w:sz w:val="28"/>
      <w:szCs w:val="32"/>
    </w:rPr>
  </w:style>
  <w:style w:type="character" w:customStyle="1" w:styleId="BRGH1Char">
    <w:name w:val="BRG H 1 Char"/>
    <w:basedOn w:val="Heading1Char"/>
    <w:link w:val="BRGH1"/>
    <w:rsid w:val="007040DE"/>
    <w:rPr>
      <w:rFonts w:ascii="Century Gothic" w:eastAsia="PMingLiU" w:hAnsi="Century Gothic" w:cs="Arial"/>
      <w:b/>
      <w:bCs/>
      <w:color w:val="354F90"/>
      <w:sz w:val="32"/>
      <w:szCs w:val="32"/>
    </w:rPr>
  </w:style>
  <w:style w:type="character" w:customStyle="1" w:styleId="BRGH2Char">
    <w:name w:val="BRG H 2 Char"/>
    <w:basedOn w:val="DefaultParagraphFont"/>
    <w:link w:val="BRGH2"/>
    <w:rsid w:val="007040DE"/>
    <w:rPr>
      <w:rFonts w:ascii="Century Gothic" w:eastAsia="Calibri" w:hAnsi="Century Gothic" w:cs="Cordia New"/>
      <w:b/>
      <w:color w:val="354F9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0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4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366906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39551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arliamentary_Business/Bills_Legislation/Bills_Search_Results/Result?bId=r56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.gov.au/Parliamentary_Business/Bills_Legislation/Bills_Search_Results/Result?bId=r565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h.gov.au/Parliamentary_Business/Bills_Legislation/Bills_Search_Results/Result?bId=r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.gov.au/Parliamentary_Business/Bills_Legislation/Bills_Search_Results/Result?bId=r565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Kylie Sully</cp:lastModifiedBy>
  <cp:revision>2</cp:revision>
  <cp:lastPrinted>2016-04-26T02:37:00Z</cp:lastPrinted>
  <dcterms:created xsi:type="dcterms:W3CDTF">2016-04-26T03:15:00Z</dcterms:created>
  <dcterms:modified xsi:type="dcterms:W3CDTF">2016-04-26T03:15:00Z</dcterms:modified>
</cp:coreProperties>
</file>